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B3" w:rsidRPr="005A164E" w:rsidRDefault="00E956B3" w:rsidP="00BD728B">
      <w:pPr>
        <w:jc w:val="center"/>
        <w:rPr>
          <w:rFonts w:ascii="Calibri" w:hAnsi="Calibri"/>
          <w:b/>
          <w:sz w:val="24"/>
          <w:szCs w:val="24"/>
        </w:rPr>
      </w:pPr>
      <w:r w:rsidRPr="005A164E">
        <w:rPr>
          <w:rFonts w:ascii="Calibri" w:hAnsi="Calibri"/>
          <w:b/>
          <w:sz w:val="24"/>
          <w:szCs w:val="24"/>
        </w:rPr>
        <w:t>Mitgliederlisten oder -verzeichnisse an Vereinsmitglieder herausgeben?</w:t>
      </w:r>
    </w:p>
    <w:p w:rsidR="00E956B3" w:rsidRPr="002B3742" w:rsidRDefault="00E956B3" w:rsidP="002B3742">
      <w:pPr>
        <w:rPr>
          <w:rFonts w:ascii="Calibri" w:hAnsi="Calibri"/>
          <w:sz w:val="22"/>
          <w:szCs w:val="22"/>
        </w:rPr>
      </w:pPr>
      <w:r>
        <w:rPr>
          <w:rFonts w:ascii="Calibri" w:hAnsi="Calibri"/>
          <w:sz w:val="22"/>
          <w:szCs w:val="22"/>
        </w:rPr>
        <w:t>________________________________________________________________________________</w:t>
      </w:r>
    </w:p>
    <w:p w:rsidR="00E956B3" w:rsidRDefault="00E956B3" w:rsidP="002B3742">
      <w:pPr>
        <w:rPr>
          <w:rFonts w:ascii="Calibri" w:hAnsi="Calibri"/>
          <w:sz w:val="22"/>
          <w:szCs w:val="22"/>
        </w:rPr>
      </w:pPr>
    </w:p>
    <w:p w:rsidR="00E956B3" w:rsidRDefault="00E956B3" w:rsidP="002B3742">
      <w:pPr>
        <w:rPr>
          <w:rFonts w:ascii="Calibri" w:hAnsi="Calibri"/>
          <w:sz w:val="22"/>
          <w:szCs w:val="22"/>
        </w:rPr>
      </w:pPr>
      <w:r w:rsidRPr="002B3742">
        <w:rPr>
          <w:rFonts w:ascii="Calibri" w:hAnsi="Calibri"/>
          <w:sz w:val="22"/>
          <w:szCs w:val="22"/>
        </w:rPr>
        <w:t xml:space="preserve">Persönliche Daten wie die </w:t>
      </w:r>
      <w:r w:rsidRPr="002B3742">
        <w:rPr>
          <w:rFonts w:ascii="Calibri" w:hAnsi="Calibri"/>
          <w:b/>
          <w:sz w:val="22"/>
          <w:szCs w:val="22"/>
        </w:rPr>
        <w:t>Mitgliederliste</w:t>
      </w:r>
      <w:r w:rsidRPr="002B3742">
        <w:rPr>
          <w:rFonts w:ascii="Calibri" w:hAnsi="Calibri"/>
          <w:sz w:val="22"/>
          <w:szCs w:val="22"/>
        </w:rPr>
        <w:t xml:space="preserve"> dürfen Sie intern bekannt machen, wenn es Zweck Ihres Vereins ist, die Geselligkeit zu fördern. Ist das nicht der Fall, aber die Mitglieder haben Interesse daran, müssen Sie es mit eventuell gegensätzlichen Interessen des Vereins und der Mitglieder abwägen. </w:t>
      </w:r>
    </w:p>
    <w:p w:rsidR="00E956B3" w:rsidRDefault="00E956B3" w:rsidP="002B3742">
      <w:pPr>
        <w:rPr>
          <w:rFonts w:ascii="Calibri" w:hAnsi="Calibri"/>
          <w:b/>
          <w:sz w:val="21"/>
          <w:szCs w:val="21"/>
        </w:rPr>
      </w:pPr>
      <w:r w:rsidRPr="002B3742">
        <w:rPr>
          <w:rFonts w:ascii="Calibri" w:hAnsi="Calibri"/>
          <w:b/>
          <w:sz w:val="21"/>
          <w:szCs w:val="21"/>
        </w:rPr>
        <w:t>Damit sich aber Mitglieder mit anderen zusammenfinden können, um zum Beispiel einen Minderheitsantrag zu stellen, müssen Sie Ihnen Einsicht in die Mitgliederliste gewähren.</w:t>
      </w:r>
    </w:p>
    <w:p w:rsidR="00E956B3" w:rsidRDefault="00E956B3" w:rsidP="005A164E">
      <w:pPr>
        <w:jc w:val="center"/>
        <w:rPr>
          <w:rFonts w:ascii="Calibri" w:hAnsi="Calibri"/>
          <w:sz w:val="21"/>
          <w:szCs w:val="21"/>
        </w:rPr>
      </w:pPr>
    </w:p>
    <w:p w:rsidR="00E956B3" w:rsidRPr="005A164E" w:rsidRDefault="00E956B3" w:rsidP="005A164E">
      <w:pPr>
        <w:jc w:val="center"/>
        <w:rPr>
          <w:rFonts w:ascii="Calibri" w:hAnsi="Calibri"/>
          <w:sz w:val="21"/>
          <w:szCs w:val="21"/>
        </w:rPr>
      </w:pPr>
      <w:r w:rsidRPr="005A164E">
        <w:rPr>
          <w:rFonts w:ascii="Calibri" w:hAnsi="Calibri"/>
          <w:sz w:val="21"/>
          <w:szCs w:val="21"/>
        </w:rPr>
        <w:t>**********</w:t>
      </w:r>
    </w:p>
    <w:p w:rsidR="00E956B3" w:rsidRDefault="00E956B3" w:rsidP="00905D4E">
      <w:pPr>
        <w:rPr>
          <w:rFonts w:ascii="Calibri" w:hAnsi="Calibri"/>
          <w:b/>
          <w:sz w:val="21"/>
          <w:szCs w:val="21"/>
        </w:rPr>
      </w:pPr>
    </w:p>
    <w:p w:rsidR="00E956B3" w:rsidRPr="00776665" w:rsidRDefault="00E956B3" w:rsidP="0063126E">
      <w:pPr>
        <w:jc w:val="center"/>
        <w:rPr>
          <w:rFonts w:ascii="Calibri" w:hAnsi="Calibri"/>
          <w:b/>
          <w:sz w:val="24"/>
          <w:szCs w:val="24"/>
        </w:rPr>
      </w:pPr>
      <w:r>
        <w:rPr>
          <w:rFonts w:ascii="Calibri" w:hAnsi="Calibri"/>
          <w:b/>
          <w:sz w:val="24"/>
          <w:szCs w:val="24"/>
        </w:rPr>
        <w:t xml:space="preserve">1. </w:t>
      </w:r>
      <w:r w:rsidRPr="00776665">
        <w:rPr>
          <w:rFonts w:ascii="Calibri" w:hAnsi="Calibri"/>
          <w:b/>
          <w:sz w:val="24"/>
          <w:szCs w:val="24"/>
        </w:rPr>
        <w:t>O</w:t>
      </w:r>
      <w:r>
        <w:rPr>
          <w:rFonts w:ascii="Calibri" w:hAnsi="Calibri"/>
          <w:b/>
          <w:sz w:val="24"/>
          <w:szCs w:val="24"/>
        </w:rPr>
        <w:t xml:space="preserve">LG </w:t>
      </w:r>
      <w:r w:rsidRPr="00776665">
        <w:rPr>
          <w:rFonts w:ascii="Calibri" w:hAnsi="Calibri"/>
          <w:b/>
          <w:sz w:val="24"/>
          <w:szCs w:val="24"/>
        </w:rPr>
        <w:t>Hamburg</w:t>
      </w:r>
    </w:p>
    <w:p w:rsidR="00E956B3" w:rsidRDefault="00E956B3" w:rsidP="00905D4E">
      <w:pPr>
        <w:rPr>
          <w:rFonts w:ascii="Calibri" w:hAnsi="Calibri"/>
          <w:sz w:val="22"/>
          <w:szCs w:val="22"/>
        </w:rPr>
      </w:pPr>
    </w:p>
    <w:p w:rsidR="00E956B3" w:rsidRPr="00905D4E" w:rsidRDefault="00E956B3" w:rsidP="00905D4E">
      <w:pPr>
        <w:rPr>
          <w:rFonts w:ascii="Calibri" w:hAnsi="Calibri"/>
          <w:sz w:val="22"/>
          <w:szCs w:val="22"/>
        </w:rPr>
      </w:pPr>
      <w:r w:rsidRPr="00905D4E">
        <w:rPr>
          <w:rFonts w:ascii="Calibri" w:hAnsi="Calibri"/>
          <w:sz w:val="22"/>
          <w:szCs w:val="22"/>
        </w:rPr>
        <w:t xml:space="preserve">Das OLG entschied, dass die Kläger die Herausgabe der Mitglieder an einen Treuhänder verlangen können (Urteil vom </w:t>
      </w:r>
      <w:r w:rsidRPr="00776665">
        <w:rPr>
          <w:rFonts w:ascii="Calibri" w:hAnsi="Calibri"/>
          <w:b/>
          <w:sz w:val="22"/>
          <w:szCs w:val="22"/>
        </w:rPr>
        <w:t>27.8.2009</w:t>
      </w:r>
      <w:r w:rsidRPr="00905D4E">
        <w:rPr>
          <w:rFonts w:ascii="Calibri" w:hAnsi="Calibri"/>
          <w:sz w:val="22"/>
          <w:szCs w:val="22"/>
        </w:rPr>
        <w:t>, Aktenzeichen: 6 U 38/08). Das OLG begründete die – einigermaßen überraschende – Entscheidung wie folgt (Hervorhebungen durch die Red.):</w:t>
      </w:r>
    </w:p>
    <w:p w:rsidR="00E956B3" w:rsidRPr="00905D4E" w:rsidRDefault="00E956B3" w:rsidP="00905D4E">
      <w:pPr>
        <w:rPr>
          <w:rFonts w:ascii="Calibri" w:hAnsi="Calibri"/>
          <w:sz w:val="22"/>
          <w:szCs w:val="22"/>
        </w:rPr>
      </w:pPr>
      <w:r w:rsidRPr="00905D4E">
        <w:rPr>
          <w:rFonts w:ascii="Calibri" w:hAnsi="Calibri"/>
          <w:sz w:val="22"/>
          <w:szCs w:val="22"/>
        </w:rPr>
        <w:t xml:space="preserve">Die Berufung der Kläger hat Erfolg, soweit sie die Herausgabe der Mitgliederliste an einen </w:t>
      </w:r>
      <w:r w:rsidRPr="00776665">
        <w:rPr>
          <w:rFonts w:ascii="Calibri" w:hAnsi="Calibri"/>
          <w:sz w:val="22"/>
          <w:szCs w:val="22"/>
          <w:u w:val="single"/>
        </w:rPr>
        <w:t>Treuhänder</w:t>
      </w:r>
      <w:r w:rsidRPr="00905D4E">
        <w:rPr>
          <w:rFonts w:ascii="Calibri" w:hAnsi="Calibri"/>
          <w:sz w:val="22"/>
          <w:szCs w:val="22"/>
        </w:rPr>
        <w:t xml:space="preserve"> verlangen.</w:t>
      </w:r>
    </w:p>
    <w:p w:rsidR="00E956B3" w:rsidRPr="00905D4E" w:rsidRDefault="00E956B3" w:rsidP="00905D4E">
      <w:pPr>
        <w:rPr>
          <w:rFonts w:ascii="Calibri" w:hAnsi="Calibri"/>
          <w:sz w:val="22"/>
          <w:szCs w:val="22"/>
        </w:rPr>
      </w:pPr>
      <w:r w:rsidRPr="00905D4E">
        <w:rPr>
          <w:rFonts w:ascii="Calibri" w:hAnsi="Calibri"/>
          <w:sz w:val="22"/>
          <w:szCs w:val="22"/>
        </w:rPr>
        <w:t>a) Der Anspruch folgt unmittelbar aus der Mitgliedschaft der Kläger im Verein. Die Mitgliedschaft verkörpert die Gesamtheit der aktuellen und potenziellen Mitgliedschaftsrechte und -pflichten und die Stellung des Mitgliedes im Rechtsverhältnis zu dem Verein (vgl. Soergel/Hadding, BGB, 13. Aufl., § 38 Rn 15). Aus diesem Rechtsverhältnis gehen die einzelnen Mitgliedschaftsrechte hervor, insbesondere Mitverwaltungsrechte wie das Recht des einzelnen Vereinsmitglieds auf Teilnahme an der vereinsinternen Willensbildung. Dazu zählen das Recht auf Teilnahme an den Mitgliederversammlungen und dort das Rederecht, Auskunftsrecht, Stimmrecht und aktive Wahlrecht sowie das in § 37 BGB geregelte Recht einer Minderheit, eine Mitgliederversammlung einzuberufen. Die Mitgliederversammlung als das oberste Organ des Vereins ist damit das primäre Forum für die Ausübung der Mitverwaltungsrechte der einzelnen Mitglieder.</w:t>
      </w:r>
    </w:p>
    <w:p w:rsidR="00E956B3" w:rsidRPr="00905D4E" w:rsidRDefault="00E956B3" w:rsidP="00905D4E">
      <w:pPr>
        <w:rPr>
          <w:rFonts w:ascii="Calibri" w:hAnsi="Calibri"/>
          <w:sz w:val="22"/>
          <w:szCs w:val="22"/>
        </w:rPr>
      </w:pPr>
      <w:r w:rsidRPr="00905D4E">
        <w:rPr>
          <w:rFonts w:ascii="Calibri" w:hAnsi="Calibri"/>
          <w:sz w:val="22"/>
          <w:szCs w:val="22"/>
        </w:rPr>
        <w:t xml:space="preserve">Die Rechtsausübung ist aber nicht generell auf die Mitgliederversammlung beschränkt. Der Senat folgt den Stimmen in der Literatur, die dem </w:t>
      </w:r>
      <w:r w:rsidRPr="005D7F61">
        <w:rPr>
          <w:rFonts w:ascii="Calibri" w:hAnsi="Calibri"/>
          <w:b/>
        </w:rPr>
        <w:t>einzelnen Vereinsmitglied</w:t>
      </w:r>
      <w:r w:rsidRPr="00905D4E">
        <w:rPr>
          <w:rFonts w:ascii="Calibri" w:hAnsi="Calibri"/>
          <w:sz w:val="22"/>
          <w:szCs w:val="22"/>
        </w:rPr>
        <w:t xml:space="preserve"> außerhalb der Mitgliederversammlung bei einem berechtigten Interesse jedenfalls das Recht auf Einsicht der Bücher und Urkunden des Vereins </w:t>
      </w:r>
      <w:r w:rsidRPr="005A164E">
        <w:rPr>
          <w:rFonts w:ascii="Calibri" w:hAnsi="Calibri"/>
          <w:b/>
        </w:rPr>
        <w:t xml:space="preserve">einschließlich der </w:t>
      </w:r>
      <w:r w:rsidRPr="005A164E">
        <w:rPr>
          <w:rFonts w:ascii="Calibri" w:hAnsi="Calibri"/>
          <w:b/>
          <w:u w:val="single"/>
        </w:rPr>
        <w:t>Mitgliederliste</w:t>
      </w:r>
      <w:r w:rsidRPr="00905D4E">
        <w:rPr>
          <w:rFonts w:ascii="Calibri" w:hAnsi="Calibri"/>
          <w:sz w:val="22"/>
          <w:szCs w:val="22"/>
        </w:rPr>
        <w:t xml:space="preserve"> einräumen (vgl. Sauter/Schweyer/Waldner, aa0, Rn 336; Reichert, aa0, Rn 1183; Soergel/Hadding, aa0, § 38 Rn 17.) Eine solche Einsichtnahme kann notwendig sein, um das Vereinsmitglied überhaupt in die Lage zu versetzen, seine Mitverwaltungsrechte in der Mitgliederversammlung geltend zu machen. Das Einsichtsrecht rechtfertigt sich deshalb aus einem notwendigen </w:t>
      </w:r>
      <w:r w:rsidRPr="005A164E">
        <w:rPr>
          <w:rFonts w:ascii="Calibri" w:hAnsi="Calibri"/>
          <w:sz w:val="22"/>
          <w:szCs w:val="22"/>
          <w:u w:val="single"/>
        </w:rPr>
        <w:t>Vorbereitungsanspruch</w:t>
      </w:r>
      <w:r w:rsidRPr="00905D4E">
        <w:rPr>
          <w:rFonts w:ascii="Calibri" w:hAnsi="Calibri"/>
          <w:sz w:val="22"/>
          <w:szCs w:val="22"/>
        </w:rPr>
        <w:t xml:space="preserve"> des Mitglieds. Dass sich dieses Recht nicht auf eine Ausübung in der Mitgliederversammlung beschränkt, erklärt sich schon daraus, dass sich bei dieser Gelegenheit die Einsicht in die Bücher regelmäßig schon aus technischen Gründen nicht bewerkstelligen lässt.</w:t>
      </w:r>
    </w:p>
    <w:p w:rsidR="00E956B3" w:rsidRPr="00905D4E" w:rsidRDefault="00E956B3" w:rsidP="00905D4E">
      <w:pPr>
        <w:rPr>
          <w:rFonts w:ascii="Calibri" w:hAnsi="Calibri"/>
          <w:sz w:val="22"/>
          <w:szCs w:val="22"/>
        </w:rPr>
      </w:pPr>
      <w:r w:rsidRPr="00905D4E">
        <w:rPr>
          <w:rFonts w:ascii="Calibri" w:hAnsi="Calibri"/>
          <w:sz w:val="22"/>
          <w:szCs w:val="22"/>
        </w:rPr>
        <w:t xml:space="preserve">Im Hinblick auf die Einsicht in die Mitgliederliste wird zwar oft das Argument herangezogen, es würde einzelnen Mitgliedern anderenfalls unmöglich, von dem Minderheitenrecht gem. </w:t>
      </w:r>
      <w:r w:rsidRPr="00776665">
        <w:rPr>
          <w:rFonts w:ascii="Calibri" w:hAnsi="Calibri"/>
          <w:b/>
          <w:sz w:val="22"/>
          <w:szCs w:val="22"/>
        </w:rPr>
        <w:t>§ 37 BGB</w:t>
      </w:r>
      <w:r w:rsidRPr="00905D4E">
        <w:rPr>
          <w:rFonts w:ascii="Calibri" w:hAnsi="Calibri"/>
          <w:sz w:val="22"/>
          <w:szCs w:val="22"/>
        </w:rPr>
        <w:t xml:space="preserve"> Gebrauch zu machen, vor allem in größeren Vereinen, in denen sich die wenigsten Mitglieder persönlich kennen (vgl. Sauter/Schweyer/Waldner, aaO, Rn 336; Reichert, aaO, Rn 1183). Daraus lässt sich aber nach Auffassung des Senats nicht der Schluss ziehen, für die Einsichtnahme in die Mitgliederlisten stets zu verlangen, dass sie für ein bereits konkret beabsichtigtes Minderheitsverlangen benötigt wird. Denn § 37 BGB gewährt einer Minderheit nur das zusätzliche Recht, eine außerordentliche Mitgliederversammlung einberufen zu lassen. Das kann aber nicht dazu führen, die ansonsten bestehenden Mitverwaltungsrechte der Mitglieder zu beschneiden. Das gilt erst Recht angesichts der Tatsache, dass § 37 Abs. 1 BGB ein Quorum von </w:t>
      </w:r>
      <w:r w:rsidRPr="005A164E">
        <w:rPr>
          <w:rFonts w:ascii="Calibri" w:hAnsi="Calibri"/>
          <w:b/>
          <w:u w:val="single"/>
        </w:rPr>
        <w:t>10 Prozent</w:t>
      </w:r>
      <w:r w:rsidRPr="00905D4E">
        <w:rPr>
          <w:rFonts w:ascii="Calibri" w:hAnsi="Calibri"/>
          <w:sz w:val="22"/>
          <w:szCs w:val="22"/>
        </w:rPr>
        <w:t xml:space="preserve"> der Mitglieder vorschreibt. § 6 Abs. 2 S. 2 der alten Satzung des Beklagten  verlangte sogar einen schriftlichen Antrag von mindestens einem Drittel der Mitglieder. Da der Beklagte rund 50.000 Mitglieder hat, hätten danach für eine außerordentliche Mitgliederversammlung über 16.000 Mitglieder zu einem schriftlichen Minderheitsverlangen bewegt werden müssen. Die entsprechende Bestimmung in der neuen Satzung in § 7 Abs. 1 S. 2 sieht in Übereinstimmung mit § 37 BGB nunmehr zwar nur noch ein Quorum von mindestens 10 Prozent der Mitglieder vor. Das sind aber auch noch 5.000 Mitglieder.</w:t>
      </w:r>
    </w:p>
    <w:p w:rsidR="00E956B3" w:rsidRPr="00905D4E" w:rsidRDefault="00E956B3" w:rsidP="00905D4E">
      <w:pPr>
        <w:rPr>
          <w:rFonts w:ascii="Calibri" w:hAnsi="Calibri"/>
          <w:sz w:val="22"/>
          <w:szCs w:val="22"/>
        </w:rPr>
      </w:pPr>
      <w:r w:rsidRPr="00905D4E">
        <w:rPr>
          <w:rFonts w:ascii="Calibri" w:hAnsi="Calibri"/>
          <w:sz w:val="22"/>
          <w:szCs w:val="22"/>
        </w:rPr>
        <w:t xml:space="preserve">Die Kläger können das für eine Einsicht in die Mitgliederliste notwendige berechtigte Interesse für sich in Anspruch nehmen. Entgegen der Darstellung des Beklagten geht es den Klägern nicht darum, allgemeine Meinungsäußerungen an mehr als 50.000 Adressaten zu verbreiten. Sie haben vielmehr schlüssig ihren Eindruck dargelegt, dass sich der Beklagte unter der neuen Führung vom Verbraucherschutz immer mehr entferne und sich zunehmend den Interessen der Versicherungswirtschaft annähere. Ob diese Einschätzung der Kläger berechtigt ist oder nicht, kann der Senat nicht beurteilen. Es lässt sich jedenfalls nicht feststellen, dass diese Bewertung nur vorgeschoben und von vornherein ausgeschlossen ist. Das erklärte Ziel der Kläger ist es, weitere Mitglieder von ihrem Einsatz gegen die ihrer Ansicht nach falsche Kursänderung zu überzeugen, so dass sie an zukünftigen Mitgliederversammlungen teilnehmen und im Sinne der klägerischen Anliegen abstimmen, sei es zu Einzelfragen der Satzungsänderungen oder bei der Wahl der Führungsgremien. </w:t>
      </w:r>
    </w:p>
    <w:p w:rsidR="00E956B3" w:rsidRPr="00905D4E" w:rsidRDefault="00E956B3" w:rsidP="00905D4E">
      <w:pPr>
        <w:rPr>
          <w:rFonts w:ascii="Calibri" w:hAnsi="Calibri"/>
          <w:sz w:val="22"/>
          <w:szCs w:val="22"/>
        </w:rPr>
      </w:pPr>
      <w:r w:rsidRPr="00905D4E">
        <w:rPr>
          <w:rFonts w:ascii="Calibri" w:hAnsi="Calibri"/>
          <w:sz w:val="22"/>
          <w:szCs w:val="22"/>
        </w:rPr>
        <w:t xml:space="preserve">Der Senat teilt die Ansicht des OLG Saarbrücken, </w:t>
      </w:r>
      <w:r w:rsidRPr="00776665">
        <w:rPr>
          <w:rFonts w:ascii="Calibri" w:hAnsi="Calibri"/>
          <w:b/>
        </w:rPr>
        <w:t>dass ohne Kenntnis der übrigen Mitglieder die Organisation einer Opposition gegen die Vereinsführung einschließlich einer Kandidatur für Führungspositionen oder eine vereinsinterne Wahlwerbung nicht möglich ist</w:t>
      </w:r>
      <w:r w:rsidRPr="00905D4E">
        <w:rPr>
          <w:rFonts w:ascii="Calibri" w:hAnsi="Calibri"/>
          <w:sz w:val="22"/>
          <w:szCs w:val="22"/>
        </w:rPr>
        <w:t xml:space="preserve"> (OLG Saarbrücken NZG 2008, 677 f). Auf diese Weise wird im Übrigen auch wieder der Zusammenhang zur – ordentlichen oder außerordentlichen – Mitgliederversammlung, dem zentralen Forum des Meinungsaustauschs, hergestellt.</w:t>
      </w:r>
    </w:p>
    <w:p w:rsidR="00E956B3" w:rsidRPr="00905D4E" w:rsidRDefault="00E956B3" w:rsidP="00905D4E">
      <w:pPr>
        <w:rPr>
          <w:rFonts w:ascii="Calibri" w:hAnsi="Calibri"/>
          <w:sz w:val="22"/>
          <w:szCs w:val="22"/>
        </w:rPr>
      </w:pPr>
      <w:r w:rsidRPr="00905D4E">
        <w:rPr>
          <w:rFonts w:ascii="Calibri" w:hAnsi="Calibri"/>
          <w:sz w:val="22"/>
          <w:szCs w:val="22"/>
        </w:rPr>
        <w:t xml:space="preserve">b) Es besteht kein Grund, dem einzelnen Vereinsmitglied zwar die </w:t>
      </w:r>
      <w:r w:rsidRPr="00776665">
        <w:rPr>
          <w:rFonts w:ascii="Calibri" w:hAnsi="Calibri"/>
          <w:b/>
        </w:rPr>
        <w:t>Einsicht</w:t>
      </w:r>
      <w:r w:rsidRPr="00905D4E">
        <w:rPr>
          <w:rFonts w:ascii="Calibri" w:hAnsi="Calibri"/>
          <w:sz w:val="22"/>
          <w:szCs w:val="22"/>
        </w:rPr>
        <w:t xml:space="preserve"> in die Mitgliederliste zu gewähren, </w:t>
      </w:r>
      <w:r w:rsidRPr="00776665">
        <w:rPr>
          <w:rFonts w:ascii="Calibri" w:hAnsi="Calibri"/>
          <w:b/>
        </w:rPr>
        <w:t>aber einen Anspruch auf deren Übersendung zu versagen</w:t>
      </w:r>
      <w:r w:rsidRPr="00905D4E">
        <w:rPr>
          <w:rFonts w:ascii="Calibri" w:hAnsi="Calibri"/>
          <w:sz w:val="22"/>
          <w:szCs w:val="22"/>
        </w:rPr>
        <w:t xml:space="preserve"> (so auch OLG Saarbrücken NZG 2008,677, 678; BayVGH, Beschluss vom 05.10.1998, Az. 21 ZE 98.2707, 21 CE 98.2707, Tz. 13 (zit. nach juris); vgl auch Reichert, aaO, Rn 1183: ” .u.U. auf einen EDV-Ausdruck”). Soweit sich Sauter/Schweyer/Waldner für ihre gegenteilige Meinung auf eine Entscheidung des Kammergerichts beziehen (aaO, Rn 336), überzeugt das nicht, weil das Kammergericht in dem zu § 40 GmbHG ergangenen Beschluss die Zurückweisung auf den fehlenden Verfügungsgrund der Eilbedürftigkeit stützt (KG, NZG 2005, 83). Jedenfalls bei einem großen Verein wie dem Beklagten mit rund 50.000 Mitgliedern macht eine bloße Einsichtnahme in die Mitgliederliste wenig Sinn. Die Rechte des Beklagten und der übrigen Vereinsmitglieder sind durch die Übersendung der Mitgliederliste überdies nicht wesentlich mehr berührt als bei einem Einsichtsrecht. Die dadurch anfallenden Kosten hat allerdings gern. § 811 Abs. 2 BGB analog das Vereinsmitglied zu tragen, das die Herausgabe verlangt (vgl. OLG Saarbrücken NZG 2008, 677, 678). Die Kostenübernahme haben die Kläger</w:t>
      </w:r>
      <w:r>
        <w:rPr>
          <w:rFonts w:ascii="Calibri" w:hAnsi="Calibri"/>
          <w:sz w:val="22"/>
          <w:szCs w:val="22"/>
        </w:rPr>
        <w:t xml:space="preserve"> </w:t>
      </w:r>
      <w:r w:rsidRPr="00905D4E">
        <w:rPr>
          <w:rFonts w:ascii="Calibri" w:hAnsi="Calibri"/>
          <w:sz w:val="22"/>
          <w:szCs w:val="22"/>
        </w:rPr>
        <w:t>bereits berücksichtigt.</w:t>
      </w:r>
    </w:p>
    <w:p w:rsidR="00E956B3" w:rsidRPr="00905D4E" w:rsidRDefault="00E956B3" w:rsidP="00905D4E">
      <w:pPr>
        <w:rPr>
          <w:rFonts w:ascii="Calibri" w:hAnsi="Calibri"/>
          <w:sz w:val="22"/>
          <w:szCs w:val="22"/>
        </w:rPr>
      </w:pPr>
      <w:r w:rsidRPr="00905D4E">
        <w:rPr>
          <w:rFonts w:ascii="Calibri" w:hAnsi="Calibri"/>
          <w:sz w:val="22"/>
          <w:szCs w:val="22"/>
        </w:rPr>
        <w:t xml:space="preserve">c) </w:t>
      </w:r>
      <w:r w:rsidRPr="00776665">
        <w:rPr>
          <w:rFonts w:ascii="Calibri" w:hAnsi="Calibri"/>
          <w:b/>
        </w:rPr>
        <w:t>Dem berechtigten Interesse der Kläger an der Herausgabe der Mitgliederliste stehen keine überwiegenden schutzwürdigen Belange der übrigen Vereinsmitglieder entgegen.</w:t>
      </w:r>
      <w:r w:rsidRPr="00905D4E">
        <w:rPr>
          <w:rFonts w:ascii="Calibri" w:hAnsi="Calibri"/>
          <w:sz w:val="22"/>
          <w:szCs w:val="22"/>
        </w:rPr>
        <w:t xml:space="preserve"> Diese können zwar in ihrem Persönlichkeitsrecht beeinträchtigt sein, weil die Mitgliederliste Angaben über ihre Namen, Anschriften und e-mail Adressen enthalten. Es handelt sich somit um personenbezogene Daten, die in den in § 1 beschriebenen Anwendungsbereich des Bundesdatenschutzgesetzes (BDSG) fallen. Dessen Schutzbestimmungen sind auch dann zu beachten, wenn man § 31 GenG, der den Mitgliedern einer Genossenschaft ein jederzeitiges Einsichtsrecht in die Mitgliederliste gewährt, auf den Verein übertragen will (so Sauter/Schweyer/Waldner, aaO, Rn 336).</w:t>
      </w:r>
    </w:p>
    <w:p w:rsidR="00E956B3" w:rsidRPr="00905D4E" w:rsidRDefault="00E956B3" w:rsidP="00905D4E">
      <w:pPr>
        <w:rPr>
          <w:rFonts w:ascii="Calibri" w:hAnsi="Calibri"/>
          <w:sz w:val="22"/>
          <w:szCs w:val="22"/>
        </w:rPr>
      </w:pPr>
      <w:r w:rsidRPr="00905D4E">
        <w:rPr>
          <w:rFonts w:ascii="Calibri" w:hAnsi="Calibri"/>
          <w:sz w:val="22"/>
          <w:szCs w:val="22"/>
        </w:rPr>
        <w:t>§ 31 GenG geht zwar gern. § 1 Abs. 3 BDSG den Vorschriften des Bundesdatenschutzgesetzes vor. Das kann aber nicht gleichermaßen bei einer nur entsprechenden Anwendung von § 31 GenG auf das Vereinsrecht gelten (vgl. Reichert, aaO, Rn 2574).</w:t>
      </w:r>
    </w:p>
    <w:p w:rsidR="00E956B3" w:rsidRPr="00905D4E" w:rsidRDefault="00E956B3" w:rsidP="00905D4E">
      <w:pPr>
        <w:rPr>
          <w:rFonts w:ascii="Calibri" w:hAnsi="Calibri"/>
          <w:sz w:val="22"/>
          <w:szCs w:val="22"/>
        </w:rPr>
      </w:pPr>
      <w:r w:rsidRPr="00905D4E">
        <w:rPr>
          <w:rFonts w:ascii="Calibri" w:hAnsi="Calibri"/>
          <w:sz w:val="22"/>
          <w:szCs w:val="22"/>
        </w:rPr>
        <w:t xml:space="preserve">Wie bereits dargelegt, dient die Offenbarung der Mitgliederdaten dazu, den Klägern die </w:t>
      </w:r>
      <w:r w:rsidRPr="00776665">
        <w:rPr>
          <w:rFonts w:ascii="Calibri" w:hAnsi="Calibri"/>
          <w:b/>
        </w:rPr>
        <w:t>Wahrnehmung ihrer Mitverwaltungsrechte</w:t>
      </w:r>
      <w:r w:rsidRPr="00905D4E">
        <w:rPr>
          <w:rFonts w:ascii="Calibri" w:hAnsi="Calibri"/>
          <w:sz w:val="22"/>
          <w:szCs w:val="22"/>
        </w:rPr>
        <w:t xml:space="preserve"> zu ermöglichen. Ob der Verein zur Herausgabe im Einzelfall unter datenschutzrechtlichen Gesichtspunkten berechtigt ist, richtet sich nach § 28 Abs. 1 Nr. 1 und Nr. 2 BDSG. Danach ist das Übermitteln personenbezogener Daten als Mittel für die Erfüllung eigener Geschäftszwecke zulässig, wenn es der Zweckbestimmung eines vertragsähnlichen Vertrauensverhältnisses mit dem Betroffenen dient, soweit es zur Wahrnehmung berechtigter Interessen der verantwortlichen Stelle erforderlich ist und kein Grund zu der Annahme besteht, dass das schutzwürdige Interesse des Betroffenen an dem Ausschluss der Übermittlung überwiegt. </w:t>
      </w:r>
    </w:p>
    <w:p w:rsidR="00E956B3" w:rsidRPr="00905D4E" w:rsidRDefault="00E956B3" w:rsidP="00905D4E">
      <w:pPr>
        <w:rPr>
          <w:rFonts w:ascii="Calibri" w:hAnsi="Calibri"/>
          <w:sz w:val="22"/>
          <w:szCs w:val="22"/>
        </w:rPr>
      </w:pPr>
      <w:r w:rsidRPr="00905D4E">
        <w:rPr>
          <w:rFonts w:ascii="Calibri" w:hAnsi="Calibri"/>
          <w:sz w:val="22"/>
          <w:szCs w:val="22"/>
        </w:rPr>
        <w:t xml:space="preserve">Nach Ziffer 3.1.3 der Information der Landesbeauftragten für den Datenschutz der Länder Bremen, Hamburg, Niedersachsen, Nordrhein-Westfalen und Schleswig-Holstein zum </w:t>
      </w:r>
      <w:r w:rsidRPr="00953F3D">
        <w:rPr>
          <w:rFonts w:ascii="Calibri" w:hAnsi="Calibri"/>
          <w:sz w:val="22"/>
          <w:szCs w:val="22"/>
          <w:u w:val="single"/>
        </w:rPr>
        <w:t>Datenschutz im Verein</w:t>
      </w:r>
      <w:r w:rsidRPr="00905D4E">
        <w:rPr>
          <w:rFonts w:ascii="Calibri" w:hAnsi="Calibri"/>
          <w:sz w:val="22"/>
          <w:szCs w:val="22"/>
        </w:rPr>
        <w:t xml:space="preserve"> ist die Offenbarung von Mitgliederdaten für solche Zwecke wegen der Pflicht des Vereins, die Ausübung satzungsmäßiger Minderheitsrechte zu ermöglichen, regelmäßig im Vereinsinteresse erforderlich, ohne dass überwiegende schutzwürdige Interessen der betroffenen Mitglieder entgegenstehen . Der Senat verkennt zwar nicht, dass sich diese Aussage der Informationsschrift, die auf einem Merkblatt des Innenministeriums von Baden-Württemberg beruht, unmittelbar auf Regelungen in Vereinssatzungen bezieht, die für Anträge auf Einberufung einer außerordentlichen Mitgliederversammlung etc. eine bestimmte </w:t>
      </w:r>
      <w:r w:rsidRPr="00953F3D">
        <w:rPr>
          <w:rFonts w:ascii="Calibri" w:hAnsi="Calibri"/>
          <w:b/>
        </w:rPr>
        <w:t>Mindestzahl von Mitgliedern</w:t>
      </w:r>
      <w:r w:rsidRPr="00905D4E">
        <w:rPr>
          <w:rFonts w:ascii="Calibri" w:hAnsi="Calibri"/>
          <w:sz w:val="22"/>
          <w:szCs w:val="22"/>
        </w:rPr>
        <w:t xml:space="preserve"> verlangen. Aus den bereits dargelegten Gründen </w:t>
      </w:r>
      <w:r w:rsidRPr="00953F3D">
        <w:rPr>
          <w:rFonts w:ascii="Calibri" w:hAnsi="Calibri"/>
          <w:b/>
        </w:rPr>
        <w:t>ist im vorliegenden Fall das berechtigte Interesse der Kläger auf Herausgabe der Mitgliederliste aber auch ohne eine unmittelbar beabsichtigte außerordentliche Mitgliederversammlung gegeben.</w:t>
      </w:r>
      <w:r w:rsidRPr="00905D4E">
        <w:rPr>
          <w:rFonts w:ascii="Calibri" w:hAnsi="Calibri"/>
          <w:sz w:val="22"/>
          <w:szCs w:val="22"/>
        </w:rPr>
        <w:t xml:space="preserve"> Auf der anderen Seite kann über den Wunsch einzelner Mitglieder, ihre persönlichen Daten anderen Vereinsmitgliedern grundsätzlich nicht zur Verfügung zu stellen, nicht hinweggegangen werden. Die Mitgliedschaft bei dem Beklagten, der als Verbraucherschutzorganisation die Interessen der Versicherungsnehmer vertritt, berührt zwar keinen sonderlich sensiblen Bereich wie etwa die Mitgliedschaft in einer </w:t>
      </w:r>
      <w:r w:rsidRPr="00953F3D">
        <w:rPr>
          <w:rFonts w:ascii="Calibri" w:hAnsi="Calibri"/>
          <w:b/>
        </w:rPr>
        <w:t>politischen Partei</w:t>
      </w:r>
      <w:r w:rsidRPr="00905D4E">
        <w:rPr>
          <w:rFonts w:ascii="Calibri" w:hAnsi="Calibri"/>
          <w:sz w:val="22"/>
          <w:szCs w:val="22"/>
        </w:rPr>
        <w:t>, einer Gewerkschaft oder einer Selbsthilfegruppe Suchtkranker. Dennoch muss das etwaige Interesse einzelner Mitglieder an der Geheimhaltung ihrer Daten respektiert und bei der Übersendung der Mitgliederliste beachtet werden. Das ist vorliegend dadurch gewährleistet, dass die Herausgabe an einen zur Verschwiegenheit verpflichteten Treuhänder beantragt wird, der zum einen die in den Listen enthaltenen Daten nicht an die Kläger weitergeben darf und der zum anderen die ihm von einzelnen Mitgliedern aufgegebenen Untersagungen oder Einschränkungen zu beachten hat .. .</w:t>
      </w:r>
    </w:p>
    <w:p w:rsidR="00E956B3" w:rsidRPr="00905D4E" w:rsidRDefault="00E956B3" w:rsidP="00905D4E">
      <w:pPr>
        <w:rPr>
          <w:rFonts w:ascii="Calibri" w:hAnsi="Calibri"/>
          <w:sz w:val="22"/>
          <w:szCs w:val="22"/>
        </w:rPr>
      </w:pPr>
      <w:r w:rsidRPr="00905D4E">
        <w:rPr>
          <w:rFonts w:ascii="Calibri" w:hAnsi="Calibri"/>
          <w:sz w:val="22"/>
          <w:szCs w:val="22"/>
        </w:rPr>
        <w:t>Um den übrigen Vereinsmitgliedern Gelegenheit zu geben, solche Untersagungen oder Einschränkungen an den Treuhänder zu erteilen, ist ihnen allerdings vorab eine Widerspruchsmöglichkeit zu eröffnen (vgl. Gola/Schomerus, Bundesdatenschutzgesetz, 9. Aufl., § 28 Rn 27). Dazu wird der Beklagte den Mitgliedern das Urteil bekannt zu geben haben. Ein gesondertes Schreiben an jedes Mitglied wird hierzu nicht nötig sein. Vielmehr genügt eine entsprechende Information in den Vereinspublikationen, dem 8.-Info, dem Newsletter und dem Informationsportal im Internet.</w:t>
      </w:r>
    </w:p>
    <w:p w:rsidR="00E956B3" w:rsidRPr="00905D4E" w:rsidRDefault="00E956B3" w:rsidP="00905D4E">
      <w:pPr>
        <w:rPr>
          <w:rFonts w:ascii="Calibri" w:hAnsi="Calibri"/>
          <w:sz w:val="22"/>
          <w:szCs w:val="22"/>
        </w:rPr>
      </w:pPr>
      <w:r w:rsidRPr="00905D4E">
        <w:rPr>
          <w:rFonts w:ascii="Calibri" w:hAnsi="Calibri"/>
          <w:sz w:val="22"/>
          <w:szCs w:val="22"/>
        </w:rPr>
        <w:t xml:space="preserve">Selbst wenn man die datenschutzrechtlichen Anforderungen nicht an den Regeln des § 28 Abs. 1 Nr. 1 BDSG für vertragsähnliche Vertrauensverhältnisse messen will, so würde die Übergabe der Mitgliederliste nicht am Datenschutz scheitern. Die Kläger wären dann zwar als Mitglieder des Vereins im Verhältnis zum Beklagten als Dritte i.S.v. § 28 Abs. 3 Nr. 1 BDSG anzusehen (vgl. Reichert, aaO, Rn 2574). Auch nach dieser Bestimmung ist aber eine Datenübermittlung an Dritte zulässig, wenn sie ein berechtigtes Interesse darlegen können und schutzwürdige Interessen der Betroffenen nicht entgegenstehen. Die Abwägung der widerstreitenden Interessen kann auch in diesem Zusammenhang nicht dazu führen, den Klägern die Mitgliederliste vorzuenthalten. Die berechtigten Interessen der übrigen Vereinsmitglieder werden dadurch geschützt, dass ihnen die Verpflichtung des Beklagten zur Herausgabe der Mitgliederliste bekannt gegeben wird, sie die Möglichkeit haben, der Offenbarung ihrer Daten zu widersprechen, der Treuhänder diese Weisung zu beachten hat und die Kläger selbst ohnehin keine Einsicht in die Liste nehmen können. </w:t>
      </w:r>
    </w:p>
    <w:p w:rsidR="00E956B3" w:rsidRPr="00905D4E" w:rsidRDefault="00E956B3" w:rsidP="00905D4E">
      <w:pPr>
        <w:rPr>
          <w:rFonts w:ascii="Calibri" w:hAnsi="Calibri"/>
          <w:sz w:val="22"/>
          <w:szCs w:val="22"/>
        </w:rPr>
      </w:pPr>
      <w:r w:rsidRPr="00905D4E">
        <w:rPr>
          <w:rFonts w:ascii="Calibri" w:hAnsi="Calibri"/>
          <w:sz w:val="22"/>
          <w:szCs w:val="22"/>
        </w:rPr>
        <w:t xml:space="preserve">d) Die auf einem berechtigten Interesse der Kläger beruhende Herausgabe der Mitgliederliste verletzt auch keine entgegenstehenden Belange des Beklagten selbst. Der Gefahr einer missbräuchlichen Nutzung der Daten oder einer Verbreitung von rufschädigenden Äußerungen wird dadurch begegnet, dass der Treuhänder die Mitteilungen, die die Kläger den übrigen Mitgliedern des Beklagten zukommen lassen möchten, darauf überprüft, ob sie einen werbenden Inhalt im Sinne von kommerzieller Werbung oder einer Abwerbung haben und ob sie gegen Strafvorschriften verstoßen . </w:t>
      </w:r>
    </w:p>
    <w:p w:rsidR="00E956B3" w:rsidRPr="00905D4E" w:rsidRDefault="00E956B3" w:rsidP="00905D4E">
      <w:pPr>
        <w:rPr>
          <w:rFonts w:ascii="Calibri" w:hAnsi="Calibri"/>
          <w:sz w:val="22"/>
          <w:szCs w:val="22"/>
        </w:rPr>
      </w:pPr>
      <w:r w:rsidRPr="00905D4E">
        <w:rPr>
          <w:rFonts w:ascii="Calibri" w:hAnsi="Calibri"/>
          <w:sz w:val="22"/>
          <w:szCs w:val="22"/>
        </w:rPr>
        <w:t>e) Die Kläger müssen sich nicht entgegenhalten lassen, sie könnten ihr Anliegen genauso gut verwirklichen, indem sie ihre an die übrigen Mitglieder gerichteten Informationen in der Vereinszeitung B.-Info, dem Newsletter und im Internetportal veröffentlichen. Da sich die Kritik der Kläger gerade gegen die gegenwärtige Vereinsführung richtet, müssen sie die Gelegenheit erhalten, sich unmittelbar an die Vereinsmitglieder zu wenden, ohne dass eine vorherige Kontrollmöglichkeit durch den Vorstand besteht, wie dies bei den Vereinsmedien der Fall ist. Die vom Beklagten aufgezeigten Alternativen sind daher nicht gleichwertig. Das gilt auch für den neu eingerichteten Mitgliederbeirat. Dort mögen einzelne Probleme intern beraten werden können, der Beirat bietet aber kein Forum, in dem die Kläger die übrigen Mitglieder in ihrer Gesamtheit – soweit sie nicht widersprechen – erreichen können.”</w:t>
      </w:r>
    </w:p>
    <w:p w:rsidR="00E956B3" w:rsidRPr="00905D4E" w:rsidRDefault="00E956B3" w:rsidP="00905D4E">
      <w:pPr>
        <w:rPr>
          <w:rFonts w:ascii="Calibri" w:hAnsi="Calibri"/>
          <w:sz w:val="22"/>
          <w:szCs w:val="22"/>
        </w:rPr>
      </w:pPr>
    </w:p>
    <w:p w:rsidR="00E956B3" w:rsidRPr="00905D4E" w:rsidRDefault="00E956B3" w:rsidP="00905D4E">
      <w:pPr>
        <w:rPr>
          <w:rFonts w:ascii="Calibri" w:hAnsi="Calibri"/>
          <w:sz w:val="22"/>
          <w:szCs w:val="22"/>
        </w:rPr>
      </w:pPr>
      <w:r w:rsidRPr="00905D4E">
        <w:rPr>
          <w:rFonts w:ascii="Calibri" w:hAnsi="Calibri"/>
          <w:sz w:val="22"/>
          <w:szCs w:val="22"/>
        </w:rPr>
        <w:t>Anmerkung</w:t>
      </w:r>
      <w:r>
        <w:rPr>
          <w:rFonts w:ascii="Calibri" w:hAnsi="Calibri"/>
          <w:sz w:val="22"/>
          <w:szCs w:val="22"/>
        </w:rPr>
        <w:t xml:space="preserve">: </w:t>
      </w:r>
      <w:bookmarkStart w:id="0" w:name="_GoBack"/>
      <w:bookmarkEnd w:id="0"/>
      <w:r w:rsidRPr="00905D4E">
        <w:rPr>
          <w:rFonts w:ascii="Calibri" w:hAnsi="Calibri"/>
          <w:sz w:val="22"/>
          <w:szCs w:val="22"/>
        </w:rPr>
        <w:t xml:space="preserve">Das OLG Hamburg sieht die </w:t>
      </w:r>
      <w:r w:rsidRPr="00B5114E">
        <w:rPr>
          <w:rFonts w:ascii="Calibri" w:hAnsi="Calibri"/>
          <w:b/>
        </w:rPr>
        <w:t>Herausgabe der Mitgliederliste</w:t>
      </w:r>
      <w:r w:rsidRPr="00905D4E">
        <w:rPr>
          <w:rFonts w:ascii="Calibri" w:hAnsi="Calibri"/>
          <w:sz w:val="22"/>
          <w:szCs w:val="22"/>
        </w:rPr>
        <w:t xml:space="preserve"> an einen </w:t>
      </w:r>
      <w:r w:rsidRPr="00905D4E">
        <w:rPr>
          <w:rFonts w:ascii="Calibri" w:hAnsi="Calibri"/>
          <w:sz w:val="22"/>
          <w:szCs w:val="22"/>
          <w:u w:val="single"/>
        </w:rPr>
        <w:t>Treuhänder</w:t>
      </w:r>
      <w:r w:rsidRPr="00905D4E">
        <w:rPr>
          <w:rFonts w:ascii="Calibri" w:hAnsi="Calibri"/>
          <w:sz w:val="22"/>
          <w:szCs w:val="22"/>
        </w:rPr>
        <w:t xml:space="preserve"> als praktikable Lösung an. Diese Annahme dürfte sehr optimistisch sein. Zwar hat das einzelne Mitglied nach dem OLG-Urteil ein Widerspruchsrecht gegen die Verwendung seiner eigenen personenbezogenen Daten, doch muss es diesen Widerspruch auch in geeigneter Weise geltend machen können. Besonders bei mitgliederstarken Verbänden, die einige hunderttausend oder sogar Millionen Mitglieder (ADAC!) haben, dürfte diese Widerspruchsmöglichkeit zu erheblichen Schwierigkeiten führen. In dieser Hinsicht bleiben viele Fragen offen. Bei großen Organisationen dürften die von den Auskunftssuchenden zu tragenden Kosten erhebliche Größenordnungen erreichen. Möglicherweise wird diese Kostenlast eine gewisse Bremswirkung entwickeln.</w:t>
      </w:r>
    </w:p>
    <w:p w:rsidR="00E956B3" w:rsidRPr="00905D4E" w:rsidRDefault="00E956B3" w:rsidP="00905D4E">
      <w:pPr>
        <w:rPr>
          <w:rFonts w:ascii="Calibri" w:hAnsi="Calibri"/>
          <w:sz w:val="22"/>
          <w:szCs w:val="22"/>
        </w:rPr>
      </w:pPr>
      <w:r w:rsidRPr="00905D4E">
        <w:rPr>
          <w:rFonts w:ascii="Calibri" w:hAnsi="Calibri"/>
          <w:sz w:val="22"/>
          <w:szCs w:val="22"/>
        </w:rPr>
        <w:t xml:space="preserve">Das OLG Hamburg hat folgerichtig die Revision zum Bundesgerichtshof zugelassen. Das OLG hält die bisher höchstrichterlich noch nicht entschiedene Frage, ob einzelne Vereinsmitglieder die </w:t>
      </w:r>
      <w:r w:rsidRPr="00905D4E">
        <w:rPr>
          <w:rFonts w:ascii="Calibri" w:hAnsi="Calibri"/>
          <w:sz w:val="22"/>
          <w:szCs w:val="22"/>
          <w:u w:val="single"/>
        </w:rPr>
        <w:t>Offenbarung von Daten der übrigen Mitglieder bei berechtigtem Interesse auch</w:t>
      </w:r>
      <w:r w:rsidRPr="00905D4E">
        <w:rPr>
          <w:rFonts w:ascii="Calibri" w:hAnsi="Calibri"/>
          <w:sz w:val="22"/>
          <w:szCs w:val="22"/>
        </w:rPr>
        <w:t xml:space="preserve"> </w:t>
      </w:r>
      <w:r w:rsidRPr="00905D4E">
        <w:rPr>
          <w:rFonts w:ascii="Calibri" w:hAnsi="Calibri"/>
          <w:sz w:val="22"/>
          <w:szCs w:val="22"/>
          <w:u w:val="single"/>
        </w:rPr>
        <w:t>unabhängi</w:t>
      </w:r>
      <w:r w:rsidRPr="00905D4E">
        <w:rPr>
          <w:rFonts w:ascii="Calibri" w:hAnsi="Calibri"/>
          <w:sz w:val="22"/>
          <w:szCs w:val="22"/>
        </w:rPr>
        <w:t xml:space="preserve">g von </w:t>
      </w:r>
      <w:r w:rsidRPr="00905D4E">
        <w:rPr>
          <w:rFonts w:ascii="Calibri" w:hAnsi="Calibri"/>
          <w:sz w:val="22"/>
          <w:szCs w:val="22"/>
          <w:u w:val="single"/>
        </w:rPr>
        <w:t>einem konkreten Minderheitsbegehren verlangen können</w:t>
      </w:r>
      <w:r w:rsidRPr="00905D4E">
        <w:rPr>
          <w:rFonts w:ascii="Calibri" w:hAnsi="Calibri"/>
          <w:sz w:val="22"/>
          <w:szCs w:val="22"/>
        </w:rPr>
        <w:t xml:space="preserve">, für eine Frage von grundsätzlicher Bedeutung. Mit Recht. Auf eine Entscheidung des </w:t>
      </w:r>
      <w:r w:rsidRPr="00953F3D">
        <w:rPr>
          <w:rFonts w:ascii="Calibri" w:hAnsi="Calibri"/>
          <w:b/>
        </w:rPr>
        <w:t>Bundesgerichtshofs</w:t>
      </w:r>
      <w:r w:rsidRPr="00905D4E">
        <w:rPr>
          <w:rFonts w:ascii="Calibri" w:hAnsi="Calibri"/>
          <w:sz w:val="22"/>
          <w:szCs w:val="22"/>
        </w:rPr>
        <w:t xml:space="preserve"> darf man gespannt sein. (WE)</w:t>
      </w:r>
    </w:p>
    <w:p w:rsidR="00E956B3" w:rsidRDefault="00E956B3" w:rsidP="00724EC9">
      <w:pPr>
        <w:rPr>
          <w:rFonts w:ascii="Calibri" w:hAnsi="Calibri"/>
          <w:sz w:val="22"/>
          <w:szCs w:val="22"/>
        </w:rPr>
      </w:pPr>
    </w:p>
    <w:p w:rsidR="00E956B3" w:rsidRDefault="00E956B3" w:rsidP="000F098B">
      <w:pPr>
        <w:jc w:val="center"/>
        <w:rPr>
          <w:rFonts w:ascii="Calibri" w:hAnsi="Calibri"/>
          <w:sz w:val="22"/>
          <w:szCs w:val="22"/>
        </w:rPr>
      </w:pPr>
      <w:r>
        <w:rPr>
          <w:rFonts w:ascii="Calibri" w:hAnsi="Calibri"/>
          <w:sz w:val="22"/>
          <w:szCs w:val="22"/>
        </w:rPr>
        <w:t>***********</w:t>
      </w:r>
    </w:p>
    <w:p w:rsidR="00E956B3" w:rsidRDefault="00E956B3" w:rsidP="00724EC9">
      <w:pPr>
        <w:rPr>
          <w:rFonts w:ascii="Calibri" w:hAnsi="Calibri"/>
          <w:b/>
          <w:sz w:val="22"/>
          <w:szCs w:val="22"/>
        </w:rPr>
      </w:pPr>
    </w:p>
    <w:p w:rsidR="00E956B3" w:rsidRPr="00724EC9" w:rsidRDefault="00E956B3" w:rsidP="0063126E">
      <w:pPr>
        <w:jc w:val="center"/>
        <w:rPr>
          <w:rFonts w:ascii="Calibri" w:hAnsi="Calibri"/>
          <w:b/>
          <w:sz w:val="22"/>
          <w:szCs w:val="22"/>
        </w:rPr>
      </w:pPr>
      <w:r>
        <w:rPr>
          <w:rFonts w:ascii="Calibri" w:hAnsi="Calibri"/>
          <w:b/>
          <w:sz w:val="22"/>
          <w:szCs w:val="22"/>
        </w:rPr>
        <w:t xml:space="preserve">2. </w:t>
      </w:r>
      <w:r w:rsidRPr="00724EC9">
        <w:rPr>
          <w:rFonts w:ascii="Calibri" w:hAnsi="Calibri"/>
          <w:b/>
          <w:sz w:val="22"/>
          <w:szCs w:val="22"/>
        </w:rPr>
        <w:t>OLG Hamm, Urt. v. 30.07.2014, 8 U 10/14</w:t>
      </w:r>
    </w:p>
    <w:p w:rsidR="00E956B3" w:rsidRDefault="00E956B3" w:rsidP="00724EC9">
      <w:pPr>
        <w:rPr>
          <w:rFonts w:ascii="Calibri" w:hAnsi="Calibri"/>
          <w:sz w:val="22"/>
          <w:szCs w:val="22"/>
        </w:rPr>
      </w:pPr>
    </w:p>
    <w:p w:rsidR="00E956B3" w:rsidRPr="00ED7659" w:rsidRDefault="00E956B3" w:rsidP="00724EC9">
      <w:pPr>
        <w:rPr>
          <w:rFonts w:ascii="Calibri" w:hAnsi="Calibri"/>
          <w:b/>
        </w:rPr>
      </w:pPr>
      <w:r w:rsidRPr="00724EC9">
        <w:rPr>
          <w:rFonts w:ascii="Calibri" w:hAnsi="Calibri"/>
          <w:sz w:val="22"/>
          <w:szCs w:val="22"/>
        </w:rPr>
        <w:t xml:space="preserve">Unter welchen Voraussetzungen ein berechtigtes Interesse des einzelnen Vereinsmitgliedes anzunehmen sei, Kenntnis von Namen und Anschriften der anderen Vereinsmitglieder zu erhalten, sei keiner abstrakt generellen Klärung zugänglich, sondern aufgrund der konkreten Umstände des einzelnen Falls zu beurteilen. Das Gericht hatte hier den Anspruch der Mitglieder bejaht, da diese eine </w:t>
      </w:r>
      <w:r w:rsidRPr="00ED7659">
        <w:rPr>
          <w:rFonts w:ascii="Calibri" w:hAnsi="Calibri"/>
          <w:b/>
        </w:rPr>
        <w:t>außerordentliche Mitgliederversammlung</w:t>
      </w:r>
      <w:r w:rsidRPr="00724EC9">
        <w:rPr>
          <w:rFonts w:ascii="Calibri" w:hAnsi="Calibri"/>
          <w:sz w:val="22"/>
          <w:szCs w:val="22"/>
        </w:rPr>
        <w:t xml:space="preserve"> einberufen wollten. Aus diesem Grunde wurde Ihnen jedoch die Liste der Ein- und Austritte verweigert. An </w:t>
      </w:r>
      <w:r w:rsidRPr="00ED7659">
        <w:rPr>
          <w:rFonts w:ascii="Calibri" w:hAnsi="Calibri"/>
          <w:sz w:val="22"/>
          <w:szCs w:val="22"/>
          <w:u w:val="single"/>
        </w:rPr>
        <w:t>diesen</w:t>
      </w:r>
      <w:r w:rsidRPr="00724EC9">
        <w:rPr>
          <w:rFonts w:ascii="Calibri" w:hAnsi="Calibri"/>
          <w:sz w:val="22"/>
          <w:szCs w:val="22"/>
        </w:rPr>
        <w:t xml:space="preserve"> Daten bestand kein berechtigtes Interesse. Der Verein durfte jedoch nicht eine Mitgliederliste mit geschwärzten Adressen herausgeben, </w:t>
      </w:r>
      <w:r w:rsidRPr="00ED7659">
        <w:rPr>
          <w:rFonts w:ascii="Calibri" w:hAnsi="Calibri"/>
          <w:b/>
        </w:rPr>
        <w:t>da das Mitglied so nicht mit den anderen Mitgliedern in Kontakt treten konnte.</w:t>
      </w:r>
    </w:p>
    <w:p w:rsidR="00E956B3" w:rsidRPr="00724EC9" w:rsidRDefault="00E956B3" w:rsidP="00724EC9">
      <w:pPr>
        <w:rPr>
          <w:rFonts w:ascii="Calibri" w:hAnsi="Calibri"/>
          <w:sz w:val="22"/>
          <w:szCs w:val="22"/>
        </w:rPr>
      </w:pPr>
      <w:r w:rsidRPr="00724EC9">
        <w:rPr>
          <w:rFonts w:ascii="Calibri" w:hAnsi="Calibri"/>
          <w:sz w:val="22"/>
          <w:szCs w:val="22"/>
        </w:rPr>
        <w:t>Hinweis: Wenn Ihnen gegenüber ein solches Verlangen geäußert wird, kommen Sie dem nach, wenn ein berechtigtes Interesse erkennbar ist. Lassen Sie sich dennoch bestätigen, dass die Daten ausschließlich für Vereinsangelegenheiten genutzt werden. Diese Bestätigung sollte die Mitglieder unterzeichnen, welche das Herausgabeverlangen gestellt haben.</w:t>
      </w:r>
    </w:p>
    <w:p w:rsidR="00E956B3" w:rsidRPr="00ED7659" w:rsidRDefault="00E956B3" w:rsidP="00ED7659">
      <w:pPr>
        <w:rPr>
          <w:rFonts w:ascii="Calibri" w:hAnsi="Calibri"/>
          <w:sz w:val="22"/>
          <w:szCs w:val="22"/>
        </w:rPr>
      </w:pPr>
      <w:r w:rsidRPr="00ED7659">
        <w:rPr>
          <w:rFonts w:ascii="Calibri" w:hAnsi="Calibri"/>
          <w:sz w:val="22"/>
          <w:szCs w:val="22"/>
        </w:rPr>
        <w:t>Das Gericht verurteilt den Verein zur Herausgabe</w:t>
      </w:r>
    </w:p>
    <w:p w:rsidR="00E956B3" w:rsidRDefault="00E956B3" w:rsidP="00ED7659">
      <w:pPr>
        <w:rPr>
          <w:rFonts w:ascii="Calibri" w:hAnsi="Calibri"/>
          <w:sz w:val="22"/>
          <w:szCs w:val="22"/>
        </w:rPr>
      </w:pPr>
    </w:p>
    <w:p w:rsidR="00E956B3" w:rsidRDefault="00E956B3" w:rsidP="00383986">
      <w:pPr>
        <w:jc w:val="center"/>
        <w:rPr>
          <w:rFonts w:ascii="Calibri" w:hAnsi="Calibri"/>
          <w:sz w:val="22"/>
          <w:szCs w:val="22"/>
        </w:rPr>
      </w:pPr>
      <w:r>
        <w:rPr>
          <w:rFonts w:ascii="Calibri" w:hAnsi="Calibri"/>
          <w:sz w:val="22"/>
          <w:szCs w:val="22"/>
        </w:rPr>
        <w:t>**************</w:t>
      </w:r>
    </w:p>
    <w:p w:rsidR="00E956B3" w:rsidRDefault="00E956B3" w:rsidP="00ED7659">
      <w:pPr>
        <w:rPr>
          <w:rFonts w:ascii="Calibri" w:hAnsi="Calibri"/>
          <w:sz w:val="22"/>
          <w:szCs w:val="22"/>
        </w:rPr>
      </w:pPr>
    </w:p>
    <w:p w:rsidR="00E956B3" w:rsidRDefault="00E956B3" w:rsidP="0063126E">
      <w:pPr>
        <w:jc w:val="center"/>
        <w:rPr>
          <w:rFonts w:ascii="Calibri" w:hAnsi="Calibri"/>
          <w:b/>
          <w:sz w:val="22"/>
          <w:szCs w:val="22"/>
        </w:rPr>
      </w:pPr>
    </w:p>
    <w:p w:rsidR="00E956B3" w:rsidRPr="0063126E" w:rsidRDefault="00E956B3" w:rsidP="0063126E">
      <w:pPr>
        <w:jc w:val="center"/>
        <w:rPr>
          <w:rFonts w:ascii="Calibri" w:hAnsi="Calibri"/>
          <w:b/>
          <w:sz w:val="22"/>
          <w:szCs w:val="22"/>
        </w:rPr>
      </w:pPr>
      <w:r w:rsidRPr="0063126E">
        <w:rPr>
          <w:rFonts w:ascii="Calibri" w:hAnsi="Calibri"/>
          <w:b/>
          <w:sz w:val="22"/>
          <w:szCs w:val="22"/>
        </w:rPr>
        <w:t>3. OLG Saarland</w:t>
      </w:r>
    </w:p>
    <w:p w:rsidR="00E956B3" w:rsidRDefault="00E956B3" w:rsidP="00ED7659">
      <w:pPr>
        <w:rPr>
          <w:rFonts w:ascii="Calibri" w:hAnsi="Calibri"/>
          <w:sz w:val="22"/>
          <w:szCs w:val="22"/>
        </w:rPr>
      </w:pPr>
    </w:p>
    <w:p w:rsidR="00E956B3" w:rsidRDefault="00E956B3" w:rsidP="00ED7659">
      <w:pPr>
        <w:rPr>
          <w:rFonts w:ascii="Calibri" w:hAnsi="Calibri"/>
          <w:sz w:val="22"/>
          <w:szCs w:val="22"/>
        </w:rPr>
      </w:pPr>
      <w:r>
        <w:rPr>
          <w:rFonts w:ascii="Calibri" w:hAnsi="Calibri"/>
          <w:sz w:val="22"/>
          <w:szCs w:val="22"/>
        </w:rPr>
        <w:t>……..</w:t>
      </w:r>
    </w:p>
    <w:p w:rsidR="00E956B3" w:rsidRPr="00ED7659" w:rsidRDefault="00E956B3" w:rsidP="00ED7659">
      <w:pPr>
        <w:rPr>
          <w:rFonts w:ascii="Calibri" w:hAnsi="Calibri"/>
          <w:sz w:val="22"/>
          <w:szCs w:val="22"/>
        </w:rPr>
      </w:pPr>
      <w:r w:rsidRPr="00ED7659">
        <w:rPr>
          <w:rFonts w:ascii="Calibri" w:hAnsi="Calibri"/>
          <w:sz w:val="22"/>
          <w:szCs w:val="22"/>
        </w:rPr>
        <w:t xml:space="preserve">Das </w:t>
      </w:r>
      <w:r w:rsidRPr="00ED7659">
        <w:rPr>
          <w:rFonts w:ascii="Calibri" w:hAnsi="Calibri"/>
          <w:b/>
          <w:sz w:val="21"/>
          <w:szCs w:val="21"/>
        </w:rPr>
        <w:t>Saarländische Oberlandesgericht</w:t>
      </w:r>
      <w:r w:rsidRPr="00ED7659">
        <w:rPr>
          <w:rFonts w:ascii="Calibri" w:hAnsi="Calibri"/>
          <w:sz w:val="22"/>
          <w:szCs w:val="22"/>
        </w:rPr>
        <w:t xml:space="preserve"> gab dieser Forderung ohne Wenn und Aber statt. Dabei sieht es folgende rechtlichen Ausgangspunkte:</w:t>
      </w:r>
    </w:p>
    <w:p w:rsidR="00E956B3" w:rsidRPr="00ED7659" w:rsidRDefault="00E956B3" w:rsidP="00ED7659">
      <w:pPr>
        <w:rPr>
          <w:rFonts w:ascii="Calibri" w:hAnsi="Calibri"/>
          <w:sz w:val="22"/>
          <w:szCs w:val="22"/>
        </w:rPr>
      </w:pPr>
      <w:r w:rsidRPr="00ED7659">
        <w:rPr>
          <w:rFonts w:ascii="Calibri" w:hAnsi="Calibri"/>
          <w:sz w:val="22"/>
          <w:szCs w:val="22"/>
        </w:rPr>
        <w:t xml:space="preserve">•Wer sich – so wie hier – freiwillig einem Verein anschließt, tritt mit den anderen Mitgliedern in eine von allen beteiligten gewollte </w:t>
      </w:r>
      <w:r w:rsidRPr="00ED7659">
        <w:rPr>
          <w:rFonts w:ascii="Calibri" w:hAnsi="Calibri"/>
          <w:sz w:val="22"/>
          <w:szCs w:val="22"/>
          <w:u w:val="single"/>
        </w:rPr>
        <w:t>Rechtsgemeinschaft</w:t>
      </w:r>
      <w:r w:rsidRPr="00ED7659">
        <w:rPr>
          <w:rFonts w:ascii="Calibri" w:hAnsi="Calibri"/>
          <w:sz w:val="22"/>
          <w:szCs w:val="22"/>
        </w:rPr>
        <w:t>.</w:t>
      </w:r>
    </w:p>
    <w:p w:rsidR="00E956B3" w:rsidRPr="0063126E" w:rsidRDefault="00E956B3" w:rsidP="00ED7659">
      <w:pPr>
        <w:rPr>
          <w:rFonts w:ascii="Calibri" w:hAnsi="Calibri"/>
          <w:b/>
        </w:rPr>
      </w:pPr>
      <w:r w:rsidRPr="00ED7659">
        <w:rPr>
          <w:rFonts w:ascii="Calibri" w:hAnsi="Calibri"/>
          <w:sz w:val="22"/>
          <w:szCs w:val="22"/>
        </w:rPr>
        <w:t xml:space="preserve">•Daraus leitet sich ab, </w:t>
      </w:r>
      <w:r w:rsidRPr="0063126E">
        <w:rPr>
          <w:rFonts w:ascii="Calibri" w:hAnsi="Calibri"/>
          <w:b/>
        </w:rPr>
        <w:t>dass es jedes Mitglied dulden muss, dass anderen Mitgliedern die Kontaktaufnahme mit ihm ermöglicht wird, sofern eines der anderen Mitglieder daran ein berechtigtes Interesse hat.</w:t>
      </w:r>
    </w:p>
    <w:p w:rsidR="00E956B3" w:rsidRPr="00ED7659" w:rsidRDefault="00E956B3" w:rsidP="00ED7659">
      <w:pPr>
        <w:rPr>
          <w:rFonts w:ascii="Calibri" w:hAnsi="Calibri"/>
          <w:sz w:val="22"/>
          <w:szCs w:val="22"/>
        </w:rPr>
      </w:pPr>
      <w:r w:rsidRPr="00ED7659">
        <w:rPr>
          <w:rFonts w:ascii="Calibri" w:hAnsi="Calibri"/>
          <w:sz w:val="22"/>
          <w:szCs w:val="22"/>
        </w:rPr>
        <w:t>•Die Anforderungen an dieses „berechtigte Interesse“ dürfen gerade bei größeren Vereinen, bei denen sich nicht alle Mitglieder gegenseitig kennen könne, nicht zu hoch angesetzt werden.</w:t>
      </w:r>
    </w:p>
    <w:p w:rsidR="00E956B3" w:rsidRPr="00ED7659" w:rsidRDefault="00E956B3" w:rsidP="00ED7659">
      <w:pPr>
        <w:rPr>
          <w:rFonts w:ascii="Calibri" w:hAnsi="Calibri"/>
          <w:b/>
        </w:rPr>
      </w:pPr>
      <w:r w:rsidRPr="00ED7659">
        <w:rPr>
          <w:rFonts w:ascii="Calibri" w:hAnsi="Calibri"/>
          <w:b/>
        </w:rPr>
        <w:t>Jedes Mitglied muss „Minderheitsrechte “ ausüben können</w:t>
      </w:r>
      <w:r>
        <w:rPr>
          <w:rFonts w:ascii="Calibri" w:hAnsi="Calibri"/>
          <w:b/>
        </w:rPr>
        <w:t>.</w:t>
      </w:r>
    </w:p>
    <w:p w:rsidR="00E956B3" w:rsidRPr="00ED7659" w:rsidRDefault="00E956B3" w:rsidP="00ED7659">
      <w:pPr>
        <w:rPr>
          <w:rFonts w:ascii="Calibri" w:hAnsi="Calibri"/>
          <w:sz w:val="22"/>
          <w:szCs w:val="22"/>
        </w:rPr>
      </w:pPr>
      <w:r w:rsidRPr="00ED7659">
        <w:rPr>
          <w:rFonts w:ascii="Calibri" w:hAnsi="Calibri"/>
          <w:sz w:val="22"/>
          <w:szCs w:val="22"/>
        </w:rPr>
        <w:t>„Mitglied“ sein, bedeutet auch, sich im Verein aktiv betätigen zu können. Daraus z</w:t>
      </w:r>
      <w:r>
        <w:rPr>
          <w:rFonts w:ascii="Calibri" w:hAnsi="Calibri"/>
          <w:sz w:val="22"/>
          <w:szCs w:val="22"/>
        </w:rPr>
        <w:t>ie</w:t>
      </w:r>
      <w:r w:rsidRPr="00ED7659">
        <w:rPr>
          <w:rFonts w:ascii="Calibri" w:hAnsi="Calibri"/>
          <w:sz w:val="22"/>
          <w:szCs w:val="22"/>
        </w:rPr>
        <w:t>ht das Gericht weitreichende Folgerungen:</w:t>
      </w:r>
    </w:p>
    <w:p w:rsidR="00E956B3" w:rsidRPr="00ED7659" w:rsidRDefault="00E956B3" w:rsidP="00ED7659">
      <w:pPr>
        <w:rPr>
          <w:rFonts w:ascii="Calibri" w:hAnsi="Calibri"/>
          <w:sz w:val="22"/>
          <w:szCs w:val="22"/>
        </w:rPr>
      </w:pPr>
      <w:r w:rsidRPr="00ED7659">
        <w:rPr>
          <w:rFonts w:ascii="Calibri" w:hAnsi="Calibri"/>
          <w:sz w:val="22"/>
          <w:szCs w:val="22"/>
        </w:rPr>
        <w:t>•Es muss es jedem Mitglied, das dies wünscht, möglich sein, das „Minderheitsrecht“ gemäß § 37 BGB Absatz 1 auszuüben. Diese Vorschrift hat folgenden Wortlaut: „</w:t>
      </w:r>
      <w:r w:rsidRPr="00ED7659">
        <w:rPr>
          <w:rFonts w:ascii="Calibri" w:hAnsi="Calibri"/>
          <w:i/>
          <w:sz w:val="22"/>
          <w:szCs w:val="22"/>
        </w:rPr>
        <w:t xml:space="preserve">Die Mitgliederversammlung ist zu berufen, wenn der durch die Satzung bestimmte Teil oder in Ermangelung einer Bestimmung der zehnte Teil der Mitglieder die Berufung schriftlich unter Angabe des Zweckes und der Gründe verlangt.“ </w:t>
      </w:r>
      <w:r w:rsidRPr="00ED7659">
        <w:rPr>
          <w:rFonts w:ascii="Calibri" w:hAnsi="Calibri"/>
          <w:sz w:val="22"/>
          <w:szCs w:val="22"/>
        </w:rPr>
        <w:t>Ohne die anderen Mitglieder direkt ansprechen zu können, wäre es oft nicht möglich, den „zehnten Teil“ der Mitglieder zu einem solchen Antrag zu veranlassen.</w:t>
      </w:r>
    </w:p>
    <w:p w:rsidR="00E956B3" w:rsidRPr="00ED7659" w:rsidRDefault="00E956B3" w:rsidP="00ED7659">
      <w:pPr>
        <w:rPr>
          <w:rFonts w:ascii="Calibri" w:hAnsi="Calibri"/>
          <w:sz w:val="22"/>
          <w:szCs w:val="22"/>
        </w:rPr>
      </w:pPr>
      <w:r w:rsidRPr="00ED7659">
        <w:rPr>
          <w:rFonts w:ascii="Calibri" w:hAnsi="Calibri"/>
          <w:sz w:val="22"/>
          <w:szCs w:val="22"/>
        </w:rPr>
        <w:t>•Im vorliegenden Fall kommt hinzu, dass der Kläger „Wahlwerbung“ treiben will, er schon seit langem im Verein tätig ist, früher schon Mitglied des Präsidiums war und im Jahr 2007 für das Amt des Präsidenten kandidiert hat. Wer sich so aktiv im Leben eines Vereins engagiert, hat ein berechtigtes Interesse daran zu wissen, für wen er das eigentlich tut.</w:t>
      </w:r>
    </w:p>
    <w:p w:rsidR="00E956B3" w:rsidRPr="00ED7659" w:rsidRDefault="00E956B3" w:rsidP="00ED7659">
      <w:pPr>
        <w:rPr>
          <w:rFonts w:ascii="Calibri" w:hAnsi="Calibri"/>
          <w:b/>
        </w:rPr>
      </w:pPr>
      <w:r w:rsidRPr="00ED7659">
        <w:rPr>
          <w:rFonts w:ascii="Calibri" w:hAnsi="Calibri"/>
          <w:b/>
        </w:rPr>
        <w:t>Das Landgericht Münster erlaubt sogar den Zugriff auf Mailadressen der Mitglieder</w:t>
      </w:r>
      <w:r>
        <w:rPr>
          <w:rFonts w:ascii="Calibri" w:hAnsi="Calibri"/>
          <w:b/>
        </w:rPr>
        <w:t>.</w:t>
      </w:r>
    </w:p>
    <w:p w:rsidR="00E956B3" w:rsidRPr="00ED7659" w:rsidRDefault="00E956B3" w:rsidP="00ED7659">
      <w:pPr>
        <w:rPr>
          <w:rFonts w:ascii="Calibri" w:hAnsi="Calibri"/>
          <w:sz w:val="22"/>
          <w:szCs w:val="22"/>
        </w:rPr>
      </w:pPr>
      <w:r w:rsidRPr="00ED7659">
        <w:rPr>
          <w:rFonts w:ascii="Calibri" w:hAnsi="Calibri"/>
          <w:sz w:val="22"/>
          <w:szCs w:val="22"/>
        </w:rPr>
        <w:t>In einem ähnlichen Fall beim Landgericht Münster wollte der Antragsteller ebenfalls als Mitglied des Vorstandes in einem Verein kandidieren. Um was für einen Vereine sich handelt, ist nicht näher ausgeführt, doch scheint er deutschlandweit tätig zu sein. Ganz offensichtlich ist es im Verein üblich, miteinander mittels E-Mail zu kommunizieren.</w:t>
      </w:r>
    </w:p>
    <w:p w:rsidR="00E956B3" w:rsidRPr="00ED7659" w:rsidRDefault="00E956B3" w:rsidP="00ED7659">
      <w:pPr>
        <w:rPr>
          <w:rFonts w:ascii="Calibri" w:hAnsi="Calibri"/>
          <w:sz w:val="22"/>
          <w:szCs w:val="22"/>
        </w:rPr>
      </w:pPr>
      <w:r w:rsidRPr="00ED7659">
        <w:rPr>
          <w:rFonts w:ascii="Calibri" w:hAnsi="Calibri"/>
          <w:sz w:val="22"/>
          <w:szCs w:val="22"/>
        </w:rPr>
        <w:t>Der Antragsteller forderte vom amtierenden Vorstand, ihm eine Datei mit den Mailadressen sämtlicher Mitglieder herauszugeben, da er ihnen „Informationen zur Vorstandswahl“, also zum Beispiel Informationen über sich selbst zuleiten will.</w:t>
      </w:r>
    </w:p>
    <w:p w:rsidR="00E956B3" w:rsidRDefault="00E956B3" w:rsidP="00ED7659">
      <w:pPr>
        <w:rPr>
          <w:rFonts w:ascii="Calibri" w:hAnsi="Calibri"/>
          <w:sz w:val="22"/>
          <w:szCs w:val="22"/>
        </w:rPr>
      </w:pPr>
      <w:r w:rsidRPr="00ED7659">
        <w:rPr>
          <w:rFonts w:ascii="Calibri" w:hAnsi="Calibri"/>
          <w:sz w:val="22"/>
          <w:szCs w:val="22"/>
        </w:rPr>
        <w:t>Das Gericht gewährt den Zugriff unter Einschaltung eines „Treuhänders“</w:t>
      </w:r>
      <w:r>
        <w:rPr>
          <w:rFonts w:ascii="Calibri" w:hAnsi="Calibri"/>
          <w:sz w:val="22"/>
          <w:szCs w:val="22"/>
        </w:rPr>
        <w:t>.</w:t>
      </w:r>
    </w:p>
    <w:p w:rsidR="00E956B3" w:rsidRPr="000F098B" w:rsidRDefault="00E956B3" w:rsidP="000F098B">
      <w:pPr>
        <w:rPr>
          <w:rFonts w:ascii="Calibri" w:hAnsi="Calibri"/>
          <w:sz w:val="22"/>
          <w:szCs w:val="22"/>
        </w:rPr>
      </w:pPr>
      <w:r>
        <w:rPr>
          <w:rFonts w:ascii="Calibri" w:hAnsi="Calibri"/>
          <w:sz w:val="22"/>
          <w:szCs w:val="22"/>
        </w:rPr>
        <w:t>**************</w:t>
      </w:r>
    </w:p>
    <w:p w:rsidR="00E956B3" w:rsidRDefault="00E956B3" w:rsidP="000F098B">
      <w:pPr>
        <w:rPr>
          <w:rFonts w:ascii="Calibri" w:hAnsi="Calibri"/>
          <w:b/>
          <w:sz w:val="22"/>
          <w:szCs w:val="22"/>
        </w:rPr>
      </w:pPr>
    </w:p>
    <w:p w:rsidR="00E956B3" w:rsidRDefault="00E956B3" w:rsidP="005D7F61">
      <w:pPr>
        <w:jc w:val="center"/>
        <w:rPr>
          <w:rFonts w:ascii="Calibri" w:hAnsi="Calibri"/>
          <w:sz w:val="22"/>
          <w:szCs w:val="22"/>
        </w:rPr>
      </w:pPr>
      <w:r w:rsidRPr="005D7F61">
        <w:rPr>
          <w:rFonts w:ascii="Calibri" w:hAnsi="Calibri"/>
          <w:b/>
          <w:sz w:val="22"/>
          <w:szCs w:val="22"/>
        </w:rPr>
        <w:t>4. Oberlandesgericht München</w:t>
      </w:r>
      <w:r>
        <w:rPr>
          <w:rFonts w:ascii="Calibri" w:hAnsi="Calibri"/>
          <w:sz w:val="22"/>
          <w:szCs w:val="22"/>
        </w:rPr>
        <w:t>,</w:t>
      </w:r>
    </w:p>
    <w:p w:rsidR="00E956B3" w:rsidRPr="000F098B" w:rsidRDefault="00E956B3" w:rsidP="005D7F61">
      <w:pPr>
        <w:jc w:val="center"/>
        <w:rPr>
          <w:rFonts w:ascii="Calibri" w:hAnsi="Calibri"/>
          <w:sz w:val="22"/>
          <w:szCs w:val="22"/>
        </w:rPr>
      </w:pPr>
      <w:r w:rsidRPr="000F098B">
        <w:rPr>
          <w:rFonts w:ascii="Calibri" w:hAnsi="Calibri"/>
          <w:sz w:val="22"/>
          <w:szCs w:val="22"/>
        </w:rPr>
        <w:t>Urteil v. 24.03.2016 - Az.: 23 U 3886/15</w:t>
      </w:r>
    </w:p>
    <w:p w:rsidR="00E956B3" w:rsidRPr="000F098B" w:rsidRDefault="00E956B3" w:rsidP="000F098B">
      <w:pPr>
        <w:rPr>
          <w:rFonts w:ascii="Calibri" w:hAnsi="Calibri"/>
          <w:b/>
        </w:rPr>
      </w:pPr>
      <w:r w:rsidRPr="000F098B">
        <w:rPr>
          <w:rFonts w:ascii="Calibri" w:hAnsi="Calibri"/>
          <w:sz w:val="22"/>
          <w:szCs w:val="22"/>
        </w:rPr>
        <w:t xml:space="preserve">I. Auf die Berufung des Klägers wird das Urteil des Landgerichts München I vom 25.09.2015, Az. 10 O 4472/15 dahingehend abgeändert, </w:t>
      </w:r>
      <w:r w:rsidRPr="000F098B">
        <w:rPr>
          <w:rFonts w:ascii="Calibri" w:hAnsi="Calibri"/>
          <w:b/>
        </w:rPr>
        <w:t xml:space="preserve">dass der Beklagte verurteilt wird, dem Kläger eine Liste der Namen und Anschriften der aktuellen Mitglieder des Vereins S. Landsmannschaft - Bundesverband - e.V. auszuhändigen. </w:t>
      </w:r>
    </w:p>
    <w:p w:rsidR="00E956B3" w:rsidRPr="000F098B" w:rsidRDefault="00E956B3" w:rsidP="000F098B">
      <w:pPr>
        <w:rPr>
          <w:rFonts w:ascii="Calibri" w:hAnsi="Calibri"/>
          <w:sz w:val="22"/>
          <w:szCs w:val="22"/>
        </w:rPr>
      </w:pPr>
      <w:r w:rsidRPr="000F098B">
        <w:rPr>
          <w:rFonts w:ascii="Calibri" w:hAnsi="Calibri"/>
          <w:sz w:val="22"/>
          <w:szCs w:val="22"/>
        </w:rPr>
        <w:t xml:space="preserve">2. Dem Kläger steht der geltend gemachte Anspruch auf </w:t>
      </w:r>
      <w:r w:rsidRPr="000F098B">
        <w:rPr>
          <w:rFonts w:ascii="Calibri" w:hAnsi="Calibri"/>
          <w:b/>
        </w:rPr>
        <w:t>Aushändigung einer Liste mit Namen und Anschrift der aktuellen Vereinsmitglieder zu.</w:t>
      </w:r>
      <w:r w:rsidRPr="000F098B">
        <w:rPr>
          <w:rFonts w:ascii="Calibri" w:hAnsi="Calibri"/>
          <w:sz w:val="22"/>
          <w:szCs w:val="22"/>
        </w:rPr>
        <w:t xml:space="preserve"> 2.1. Der Kläger ist noch Mitglied der Beklagten. Auf die zutreffenden Ausführungen des Landgerichts unter Ziff. 4 der Entscheidungsgründe (Urteil S. 8) wird Bezug genommen.</w:t>
      </w:r>
    </w:p>
    <w:p w:rsidR="00E956B3" w:rsidRPr="000F098B" w:rsidRDefault="00E956B3" w:rsidP="000F098B">
      <w:pPr>
        <w:rPr>
          <w:rFonts w:ascii="Calibri" w:hAnsi="Calibri"/>
          <w:sz w:val="22"/>
          <w:szCs w:val="22"/>
        </w:rPr>
      </w:pPr>
      <w:r w:rsidRPr="000F098B">
        <w:rPr>
          <w:rFonts w:ascii="Calibri" w:hAnsi="Calibri"/>
          <w:sz w:val="22"/>
          <w:szCs w:val="22"/>
        </w:rPr>
        <w:t xml:space="preserve">2.2. Ein Vereinsmitglied hat kraft seines Mitgliedschaftsrechts einen Anspruch auf Offenbarung der Namen und Anschriften der Mitglieder des Vereins, wenn es ein berechtigtes Interesse darlegen kann, dem kein überwiegendes Interesse des Vereins oder berechtigte Belange der Vereinsmitglieder entgegenstehen. Ein berechtigtes Interesse eines Vereinsmitglieds, Kenntnis von Namen und Anschriften der übrigen Mitglieder zu erhalten, kann auch außerhalb des unmittelbaren Anwendungsbereichs des § 37 BGB bestehen, wenn das Mitglied nach den Umständen des konkreten Falls die in der Mitgliederliste enthaltenen Informationen ausnahmsweise benötigt, um die sich aus seiner Mitgliedschaft ergebenden Rechte auf Mitwirkung an der </w:t>
      </w:r>
      <w:r w:rsidRPr="00926518">
        <w:rPr>
          <w:rFonts w:ascii="Calibri" w:hAnsi="Calibri"/>
          <w:sz w:val="22"/>
          <w:szCs w:val="22"/>
          <w:u w:val="single"/>
        </w:rPr>
        <w:t>Willensbildung im Verein</w:t>
      </w:r>
      <w:r w:rsidRPr="000F098B">
        <w:rPr>
          <w:rFonts w:ascii="Calibri" w:hAnsi="Calibri"/>
          <w:sz w:val="22"/>
          <w:szCs w:val="22"/>
        </w:rPr>
        <w:t xml:space="preserve"> wirkungsvoll ausüben zu können (BGH, NZG 2010, S. 1430, 1431; BGH, NZG 2013, S. 789, 790 f). Sind die Informationen, die sich das Mitglied durch Einsicht in die Unterlagen des Vereins beschaffen kann, in einer Datenverarbeitungsanlage gespeichert, kann das Mitglied zum Zweck der Unterrichtung einen Ausdruck der geforderten Informationen oder auch deren Übermittlung in elektronischer Form verlangen (BGH NZG 2010, S. 1430, 1431).</w:t>
      </w:r>
    </w:p>
    <w:p w:rsidR="00E956B3" w:rsidRPr="000F098B" w:rsidRDefault="00E956B3" w:rsidP="000F098B">
      <w:pPr>
        <w:rPr>
          <w:rFonts w:ascii="Calibri" w:hAnsi="Calibri"/>
          <w:sz w:val="22"/>
          <w:szCs w:val="22"/>
        </w:rPr>
      </w:pPr>
      <w:r w:rsidRPr="000F098B">
        <w:rPr>
          <w:rFonts w:ascii="Calibri" w:hAnsi="Calibri"/>
          <w:sz w:val="22"/>
          <w:szCs w:val="22"/>
        </w:rPr>
        <w:t>2.2.1. Ein berechtigtes Interesse des Klägers liegt vor:</w:t>
      </w:r>
    </w:p>
    <w:p w:rsidR="00E956B3" w:rsidRPr="000F098B" w:rsidRDefault="00E956B3" w:rsidP="000F098B">
      <w:pPr>
        <w:rPr>
          <w:rFonts w:ascii="Calibri" w:hAnsi="Calibri"/>
          <w:sz w:val="22"/>
          <w:szCs w:val="22"/>
        </w:rPr>
      </w:pPr>
      <w:r w:rsidRPr="000F098B">
        <w:rPr>
          <w:rFonts w:ascii="Calibri" w:hAnsi="Calibri"/>
          <w:sz w:val="22"/>
          <w:szCs w:val="22"/>
        </w:rPr>
        <w:t xml:space="preserve">Der Kläger will alle Mitglieder des Vereins über das seiner Ansicht nach satzungs- und gesetzeswidrige Verhalten der Bundesversammlung und des Bundesvorstands aufklären. Des Weiteren möchte der Kläger eine </w:t>
      </w:r>
      <w:r w:rsidRPr="00926518">
        <w:rPr>
          <w:rFonts w:ascii="Calibri" w:hAnsi="Calibri"/>
          <w:b/>
        </w:rPr>
        <w:t>informelle Versammlung</w:t>
      </w:r>
      <w:r w:rsidRPr="000F098B">
        <w:rPr>
          <w:rFonts w:ascii="Calibri" w:hAnsi="Calibri"/>
          <w:sz w:val="22"/>
          <w:szCs w:val="22"/>
        </w:rPr>
        <w:t xml:space="preserve"> </w:t>
      </w:r>
      <w:r w:rsidRPr="00926518">
        <w:rPr>
          <w:rFonts w:ascii="Calibri" w:hAnsi="Calibri"/>
          <w:b/>
        </w:rPr>
        <w:t>aller Mitglieder</w:t>
      </w:r>
      <w:r w:rsidRPr="000F098B">
        <w:rPr>
          <w:rFonts w:ascii="Calibri" w:hAnsi="Calibri"/>
          <w:sz w:val="22"/>
          <w:szCs w:val="22"/>
        </w:rPr>
        <w:t xml:space="preserve"> einberufen, um diese zu informieren und eine Beschlussfassung über Maßnahmen und eine Vorentscheidung über die Abberufung des Bundesvorstands und die Entlassung des Geschäftsführers zu erreichen.</w:t>
      </w:r>
    </w:p>
    <w:p w:rsidR="00E956B3" w:rsidRPr="000F098B" w:rsidRDefault="00E956B3" w:rsidP="000F098B">
      <w:pPr>
        <w:rPr>
          <w:rFonts w:ascii="Calibri" w:hAnsi="Calibri"/>
          <w:sz w:val="22"/>
          <w:szCs w:val="22"/>
        </w:rPr>
      </w:pPr>
      <w:r w:rsidRPr="000F098B">
        <w:rPr>
          <w:rFonts w:ascii="Calibri" w:hAnsi="Calibri"/>
          <w:sz w:val="22"/>
          <w:szCs w:val="22"/>
        </w:rPr>
        <w:t>Dies genügt als berechtigtes Interesse für die begehrte Auskunft. Der Senat verkennt dabei nicht, dass vorliegend die Rechte der Mitgliederversammlung von der Bundesversammlung wahrgenommen werden und der Kläger nicht nach § 37 Abs. 1 BGB zusammen mit 10% der Mitglieder die Einberufung der Bundesversammlung fordern kann. Außerdem wählt die Bundesversammlung den Vorstand, § 13 (2) der Satzung, der sich wiederum zur Geschäftsführung der Bundesgeschäftsstelle bedient, § 18 der Satzung. Eine Abberufung des Bundesvorstands kann der Kläger daher unmittelbar nicht erreichen. Jedoch kann eine Information aller Mitglieder deren künftige Wahlentscheidung für die Wahlen der Delegierten zur Bundesversammlung und damit die Zusammensetzung und das künftige Agieren der Bundesversammlung beeinflussen. Darüber hinaus kann durch eine Beschlussfassung in der informellen Mitgliederversammlung faktisch auf die Meinungsbildung der aktuellen Mitglieder der Bundesversammlung selbst Einfluss genommen werden. Zu berücksichtigen ist zudem, dass jedenfalls nach Ansicht des Klägers die von der Bundesversammlung am 28.02.2015 beschlossene Satzungsänderung sogar eine Änderung des Vereinszwecks darstellt. Ein Austausch über eine als derartig grundlegend empfundene Satzungsänderung mit den anderen Vereinsmitgliedern stellt schon per se ein nachvollziehbares und berechtigtes Interesse dar, zumal eine Änderung des Vereinszwecks nach § 33 Abs. 1 Satz 2 BGB einer Zustimmung aller Vereinsmitglieder bedürfte. Dabei kommt es vorliegend nicht darauf an, ob die am 28.02.2015 beschlossene Änderung des Vereinszwecks tatsächlich als Änderung des Vereinszwecks zu qualifizieren ist.</w:t>
      </w: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r w:rsidRPr="000F098B">
        <w:rPr>
          <w:rFonts w:ascii="Calibri" w:hAnsi="Calibri"/>
          <w:sz w:val="22"/>
          <w:szCs w:val="22"/>
        </w:rPr>
        <w:t>Das berechtigte Interesse des Klägers ist nicht durch die Entscheidung des Landgerichts München I vom 20.11.2015 (Az. 25 O 4833/15, Anlage C 3) entfallen. Weder schließt dieses Urteil eine ähnliche Satzungsänderung durch die Bundesversammlung in Zukunft aus - zumal das Landgericht den Beschluss nur aus formellen Gründen für unwirksam hielt -, noch hat die Entscheidung Einfluss auf die vom Kläger angestrebte Absetzung des Bundesvorstands.</w:t>
      </w: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r w:rsidRPr="000F098B">
        <w:rPr>
          <w:rFonts w:ascii="Calibri" w:hAnsi="Calibri"/>
          <w:sz w:val="22"/>
          <w:szCs w:val="22"/>
        </w:rPr>
        <w:t>Entgegen der Ansicht des Beklagten entfällt das berechtigte Auskunftsinteresse des Klägers nicht dadurch, dass er seine Meinung und den Inhalt des vorbezeichneten Urteils bereits über Internet und Facebook kundgetan hat. Zum einen ersetzt diese Kundgabe nicht die persönliche Diskussion mit den anderen Mitgliedern. Zum anderen ist nicht gewährleistet, dass der Kläger über Internet und Facebook tatsächlich sämtliche anderen Mitglieder erreicht.</w:t>
      </w: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r w:rsidRPr="000F098B">
        <w:rPr>
          <w:rFonts w:ascii="Calibri" w:hAnsi="Calibri"/>
          <w:sz w:val="22"/>
          <w:szCs w:val="22"/>
        </w:rPr>
        <w:t>2.2.2. Ein überwiegendes Interesse des Beklagten oder der anderen Vereinsmitglieder, das der Herausgabe der Daten entgegenstünde, vermag der Senat ebenfalls nicht zu erkennen.</w:t>
      </w: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r w:rsidRPr="000F098B">
        <w:rPr>
          <w:rFonts w:ascii="Calibri" w:hAnsi="Calibri"/>
          <w:b/>
          <w:sz w:val="22"/>
          <w:szCs w:val="22"/>
        </w:rPr>
        <w:t xml:space="preserve">Ein pauschales Recht auf Geheimhaltung der Mitgliedschaft in einem Verein auch im Verhältnis zu den anderen Vereinsmitgliedern besteht nicht. </w:t>
      </w:r>
      <w:r w:rsidRPr="000F098B">
        <w:rPr>
          <w:rFonts w:ascii="Calibri" w:hAnsi="Calibri"/>
          <w:sz w:val="22"/>
          <w:szCs w:val="22"/>
        </w:rPr>
        <w:t>Soweit die Vereinsmitglieder davor geschützt sein wollen, von anderen Vereinsmitgliedern angeschrieben zu werden, begründet dies allein ebenfalls kein schutzwürdiges Geheimhaltungsinteresse. Insoweit steht es jedem Mitglied frei, Informations- oder Einladungsschreiben ungelesen wegzuwerfen.</w:t>
      </w:r>
    </w:p>
    <w:p w:rsidR="00E956B3" w:rsidRPr="00F069F5" w:rsidRDefault="00E956B3" w:rsidP="000F098B">
      <w:pPr>
        <w:rPr>
          <w:rFonts w:ascii="Calibri" w:hAnsi="Calibri"/>
          <w:b/>
        </w:rPr>
      </w:pPr>
      <w:r w:rsidRPr="000F098B">
        <w:rPr>
          <w:rFonts w:ascii="Calibri" w:hAnsi="Calibri"/>
          <w:sz w:val="22"/>
          <w:szCs w:val="22"/>
        </w:rPr>
        <w:t xml:space="preserve">Soweit der Beklagte erstmals in zweiter Instanz behauptet, der Kläger wolle den Beklagten spalten und schädigen, wie das von ihm gegründete „Bündnis zur Wahrung sudetendeutscher Interessen“ zeige, vermag dies den Auskunftsanspruch ebenfalls nicht auszuschließen. Denn der Beklagte trägt gleichzeitig vor, eine Parallelmitgliedschaft werde zugelassen. Dass der Kläger bereits konkret Mitglieder zum Austritt aus dem Beklagten veranlasst hätte, behauptet auch der Beklagte nicht. </w:t>
      </w:r>
      <w:r w:rsidRPr="00F069F5">
        <w:rPr>
          <w:rFonts w:ascii="Calibri" w:hAnsi="Calibri"/>
          <w:b/>
        </w:rPr>
        <w:t>Die bloße abstrakte Missbrauchsgefahr genügt aber nicht, die Auskunft zu verweigern.</w:t>
      </w: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r w:rsidRPr="000F098B">
        <w:rPr>
          <w:rFonts w:ascii="Calibri" w:hAnsi="Calibri"/>
          <w:sz w:val="22"/>
          <w:szCs w:val="22"/>
        </w:rPr>
        <w:t>2.2.3. Datenschutzrechtliche Bedenken stehen der Auskunft bzw. Herausgabe ebenfalls nicht entgegen. Die Datenübermittlung ist nach § 28 Abs. 1 Satz 1 Nr. 1 BDSG gestattet, wenn sie für die Durchführung eines rechtsgeschäftlichen oder rechtsgeschäftsähnlichen Schuldverhältnisses mit dem Betroffenen erforderlich ist. Dabei ist der Grundsatz der Erforderlichkeit nicht im Sinne einer absolut zwingenden Notwendigkeit zu verstehen; vielmehr geht es um ein bei vernünftiger Betrachtung Angewiesensein auf das in Frage stehende Mittel (Gola /Schomerus, BDSG, 11. Aufl, § 28 Rz. 15). Die Übermittlung von Namen und Anschriften der anderen Vereinsmitglieder dient dazu, dem Kläger zu ermöglichen, das sich aus seiner Mitgliedschaft ergebende Recht auf Mitwirkung an der Willensbildung im Verein wirkungsvoll ausüben zu können. Damit ist die Datenübermittlung nach § 28 Abs. 1 Satz 1 Nr. 1 BDSG zulässig, ohne dass es auf eine Einverständniserklärung der Mitglieder ankommt (BGH, NZG 2010, S. 1430, 1431; BGH, NZG 2013, S. 789, 792). Ein Verstoß gegen das Recht auf informationelle Selbstbestimmung der anderen Vereinsmitglieder liegt darin ebenfalls nicht. Auch insoweit begründet die bloße abstrakte Missbrauchsmöglichkeit noch keine Beeinträchtigung schutzwürdiger Belange der anderen Vereinsmitglieder (BVerfG, Beschluss vom 18.02.1991, 1 BvR 185/91, Juris Tz. 2 f; BGH NZG 2013, S. 789, 792).</w:t>
      </w: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r w:rsidRPr="000F098B">
        <w:rPr>
          <w:rFonts w:ascii="Calibri" w:hAnsi="Calibri"/>
          <w:sz w:val="22"/>
          <w:szCs w:val="22"/>
        </w:rPr>
        <w:t xml:space="preserve">2.2.4. Dem Anspruch auf Aushändigung einer Liste mit Namen und Anschriften der Vereinsmitglieder steht nicht entgegen, dass - abgesehen von den bundesunmittelbaren Mitgliedern - die Mitgliederlisten nach Art. 24 der Verbandsordnung für die Gebietsgliederung (Anlagenheft B) jeweils bei den Gebietsgliederungen bzw. bei den Ortsgruppen geführt werden. Denn der Beklagte kann nach § 22 (2) der Satzung (Anlage K 2) den Untergliederungen Weisungen erteilen und Auskünfte verlangen, auch wenn die Untergliederungen selbst rechtsfähige Vereine sind. Somit kann der Beklagte sich die Mitgliederlisten bei den Untergliederungen ohne Weiteres besorgen. Gegebenenfalls kann der Beklagte nach § 22 (2) der Satzung die nächste Untergliederung anweisen, die Mitgliederlisten bei den jeweils nachgeordneten Gliederungen anzufordern und die Listen entweder an den Beklagten oder sogar direkt an den Kläger zu übersenden. Dass dies einen unzumutbaren finanziellen oder zeitlichen Aufwand für den Beklagten verursachen würde, ist weder hinreichend konkret vorgetragen noch ersichtlich. Daran ändert die Tatsache nichts, dass der Beklagte ca. 200.000 Mitglieder hat. Denn der Beklagte ist nicht verpflichtet, die von den Untergliederungen übersendeten Mitgliederlisten nochmals zu erfassen oder einheitlich zu sortieren. Entgegen der Ansicht des Beklagten hat er daher die Mitgliederlisten auch nicht - neu - zu erstellen, sondern lediglich die bei ihm und den Untergliederungen vorhandenen Listen herauszugeben. </w:t>
      </w:r>
      <w:r w:rsidRPr="00531408">
        <w:rPr>
          <w:rFonts w:ascii="Calibri" w:hAnsi="Calibri"/>
          <w:b/>
        </w:rPr>
        <w:t>Der Anspruch auf Herausgabe dieser Listen wiederum ist Ausfluss des Informationsanspruchs des Klägers</w:t>
      </w:r>
      <w:r w:rsidRPr="000F098B">
        <w:rPr>
          <w:rFonts w:ascii="Calibri" w:hAnsi="Calibri"/>
          <w:sz w:val="22"/>
          <w:szCs w:val="22"/>
        </w:rPr>
        <w:t xml:space="preserve"> (vgl. BGH, NZG 2013, S. 789, 790).</w:t>
      </w:r>
    </w:p>
    <w:p w:rsidR="00E956B3" w:rsidRPr="000F098B" w:rsidRDefault="00E956B3" w:rsidP="000F098B">
      <w:pPr>
        <w:rPr>
          <w:rFonts w:ascii="Calibri" w:hAnsi="Calibri"/>
          <w:sz w:val="22"/>
          <w:szCs w:val="22"/>
        </w:rPr>
      </w:pPr>
    </w:p>
    <w:p w:rsidR="00E956B3" w:rsidRPr="00F069F5" w:rsidRDefault="00E956B3" w:rsidP="000F098B">
      <w:pPr>
        <w:rPr>
          <w:rFonts w:ascii="Calibri" w:hAnsi="Calibri"/>
          <w:b/>
        </w:rPr>
      </w:pPr>
      <w:r w:rsidRPr="000F098B">
        <w:rPr>
          <w:rFonts w:ascii="Calibri" w:hAnsi="Calibri"/>
          <w:sz w:val="22"/>
          <w:szCs w:val="22"/>
        </w:rPr>
        <w:t xml:space="preserve">Die Revision war nach § 543 Abs. 2 ZPO nicht zuzulassen. </w:t>
      </w:r>
      <w:r w:rsidRPr="00F069F5">
        <w:rPr>
          <w:rFonts w:ascii="Calibri" w:hAnsi="Calibri"/>
          <w:b/>
        </w:rPr>
        <w:t>Die entscheidungserheblichen Rechtsfragen sind durch höchstrichterliche Urteile geklärt.</w:t>
      </w:r>
    </w:p>
    <w:p w:rsidR="00E956B3" w:rsidRPr="000F098B" w:rsidRDefault="00E956B3" w:rsidP="000F098B">
      <w:pPr>
        <w:rPr>
          <w:rFonts w:ascii="Calibri" w:hAnsi="Calibri"/>
          <w:sz w:val="22"/>
          <w:szCs w:val="22"/>
        </w:rPr>
      </w:pPr>
      <w:r w:rsidRPr="000F098B">
        <w:rPr>
          <w:rFonts w:ascii="Calibri" w:hAnsi="Calibri"/>
          <w:sz w:val="22"/>
          <w:szCs w:val="22"/>
        </w:rPr>
        <w:t xml:space="preserve"> </w:t>
      </w: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p>
    <w:p w:rsidR="00E956B3" w:rsidRPr="000F098B" w:rsidRDefault="00E956B3" w:rsidP="000F098B">
      <w:pPr>
        <w:rPr>
          <w:rFonts w:ascii="Calibri" w:hAnsi="Calibri"/>
          <w:sz w:val="22"/>
          <w:szCs w:val="22"/>
        </w:rPr>
      </w:pPr>
    </w:p>
    <w:p w:rsidR="00E956B3" w:rsidRDefault="00E956B3" w:rsidP="000F098B">
      <w:pPr>
        <w:rPr>
          <w:rFonts w:ascii="Calibri" w:hAnsi="Calibri"/>
          <w:sz w:val="22"/>
          <w:szCs w:val="22"/>
        </w:rPr>
      </w:pPr>
    </w:p>
    <w:p w:rsidR="00E956B3" w:rsidRPr="00ED7659" w:rsidRDefault="00E956B3" w:rsidP="00ED7659">
      <w:pPr>
        <w:rPr>
          <w:rFonts w:ascii="Calibri" w:hAnsi="Calibri"/>
          <w:sz w:val="22"/>
          <w:szCs w:val="22"/>
        </w:rPr>
      </w:pPr>
    </w:p>
    <w:sectPr w:rsidR="00E956B3" w:rsidRPr="00ED7659" w:rsidSect="00167E7C">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B3" w:rsidRDefault="00E956B3" w:rsidP="0063126E">
      <w:pPr>
        <w:spacing w:after="0" w:line="240" w:lineRule="auto"/>
      </w:pPr>
      <w:r>
        <w:separator/>
      </w:r>
    </w:p>
  </w:endnote>
  <w:endnote w:type="continuationSeparator" w:id="0">
    <w:p w:rsidR="00E956B3" w:rsidRDefault="00E956B3" w:rsidP="0063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B3" w:rsidRDefault="00E956B3" w:rsidP="0063126E">
      <w:pPr>
        <w:spacing w:after="0" w:line="240" w:lineRule="auto"/>
      </w:pPr>
      <w:r>
        <w:separator/>
      </w:r>
    </w:p>
  </w:footnote>
  <w:footnote w:type="continuationSeparator" w:id="0">
    <w:p w:rsidR="00E956B3" w:rsidRDefault="00E956B3" w:rsidP="00631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6B3" w:rsidRDefault="00E956B3">
    <w:pPr>
      <w:pStyle w:val="Header"/>
      <w:jc w:val="right"/>
    </w:pPr>
    <w:fldSimple w:instr="PAGE   \* MERGEFORMAT">
      <w:r>
        <w:rPr>
          <w:noProof/>
        </w:rPr>
        <w:t>1</w:t>
      </w:r>
    </w:fldSimple>
  </w:p>
  <w:p w:rsidR="00E956B3" w:rsidRDefault="00E95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7ED5"/>
    <w:multiLevelType w:val="multilevel"/>
    <w:tmpl w:val="FFF2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0282B"/>
    <w:multiLevelType w:val="multilevel"/>
    <w:tmpl w:val="4A4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742"/>
    <w:rsid w:val="000F098B"/>
    <w:rsid w:val="00167E7C"/>
    <w:rsid w:val="001F5679"/>
    <w:rsid w:val="00211266"/>
    <w:rsid w:val="002B3742"/>
    <w:rsid w:val="00383986"/>
    <w:rsid w:val="004B7765"/>
    <w:rsid w:val="00531408"/>
    <w:rsid w:val="005A164E"/>
    <w:rsid w:val="005D7F61"/>
    <w:rsid w:val="006031CD"/>
    <w:rsid w:val="0063126E"/>
    <w:rsid w:val="007206B7"/>
    <w:rsid w:val="00724EC9"/>
    <w:rsid w:val="00776665"/>
    <w:rsid w:val="00905D4E"/>
    <w:rsid w:val="00926518"/>
    <w:rsid w:val="009279E8"/>
    <w:rsid w:val="00953F3D"/>
    <w:rsid w:val="00965516"/>
    <w:rsid w:val="00B5114E"/>
    <w:rsid w:val="00BD728B"/>
    <w:rsid w:val="00E5637D"/>
    <w:rsid w:val="00E956B3"/>
    <w:rsid w:val="00ED7659"/>
    <w:rsid w:val="00F069F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7C"/>
    <w:pPr>
      <w:spacing w:after="200" w:line="276" w:lineRule="auto"/>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3126E"/>
    <w:rPr>
      <w:rFonts w:cs="Times New Roman"/>
      <w:color w:val="385273"/>
      <w:u w:val="none"/>
      <w:effect w:val="none"/>
      <w:bdr w:val="none" w:sz="0" w:space="0" w:color="auto" w:frame="1"/>
    </w:rPr>
  </w:style>
  <w:style w:type="paragraph" w:styleId="NormalWeb">
    <w:name w:val="Normal (Web)"/>
    <w:basedOn w:val="Normal"/>
    <w:uiPriority w:val="99"/>
    <w:semiHidden/>
    <w:rsid w:val="0063126E"/>
    <w:pPr>
      <w:spacing w:after="210" w:line="240" w:lineRule="auto"/>
    </w:pPr>
    <w:rPr>
      <w:sz w:val="24"/>
      <w:szCs w:val="24"/>
    </w:rPr>
  </w:style>
  <w:style w:type="character" w:customStyle="1" w:styleId="ratingtitle3">
    <w:name w:val="ratingtitle3"/>
    <w:basedOn w:val="DefaultParagraphFont"/>
    <w:uiPriority w:val="99"/>
    <w:rsid w:val="0063126E"/>
    <w:rPr>
      <w:rFonts w:cs="Times New Roman"/>
    </w:rPr>
  </w:style>
  <w:style w:type="character" w:customStyle="1" w:styleId="jsrating">
    <w:name w:val="jsrating"/>
    <w:basedOn w:val="DefaultParagraphFont"/>
    <w:uiPriority w:val="99"/>
    <w:rsid w:val="0063126E"/>
    <w:rPr>
      <w:rFonts w:cs="Times New Roman"/>
    </w:rPr>
  </w:style>
  <w:style w:type="character" w:customStyle="1" w:styleId="showifjs2">
    <w:name w:val="showifjs2"/>
    <w:basedOn w:val="DefaultParagraphFont"/>
    <w:uiPriority w:val="99"/>
    <w:rsid w:val="0063126E"/>
    <w:rPr>
      <w:rFonts w:cs="Times New Roman"/>
    </w:rPr>
  </w:style>
  <w:style w:type="character" w:customStyle="1" w:styleId="showifnojs2">
    <w:name w:val="showifnojs2"/>
    <w:basedOn w:val="DefaultParagraphFont"/>
    <w:uiPriority w:val="99"/>
    <w:rsid w:val="0063126E"/>
    <w:rPr>
      <w:rFonts w:cs="Times New Roman"/>
    </w:rPr>
  </w:style>
  <w:style w:type="character" w:styleId="Emphasis">
    <w:name w:val="Emphasis"/>
    <w:basedOn w:val="DefaultParagraphFont"/>
    <w:uiPriority w:val="99"/>
    <w:qFormat/>
    <w:rsid w:val="0063126E"/>
    <w:rPr>
      <w:rFonts w:cs="Times New Roman"/>
      <w:i/>
      <w:iCs/>
    </w:rPr>
  </w:style>
  <w:style w:type="paragraph" w:styleId="Header">
    <w:name w:val="header"/>
    <w:basedOn w:val="Normal"/>
    <w:link w:val="HeaderChar"/>
    <w:uiPriority w:val="99"/>
    <w:rsid w:val="0063126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3126E"/>
    <w:rPr>
      <w:rFonts w:ascii="Times New Roman" w:hAnsi="Times New Roman" w:cs="Times New Roman"/>
      <w:sz w:val="20"/>
      <w:szCs w:val="20"/>
      <w:lang w:eastAsia="de-DE"/>
    </w:rPr>
  </w:style>
  <w:style w:type="paragraph" w:styleId="Footer">
    <w:name w:val="footer"/>
    <w:basedOn w:val="Normal"/>
    <w:link w:val="FooterChar"/>
    <w:uiPriority w:val="99"/>
    <w:rsid w:val="0063126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3126E"/>
    <w:rPr>
      <w:rFonts w:ascii="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863322954">
      <w:marLeft w:val="0"/>
      <w:marRight w:val="0"/>
      <w:marTop w:val="0"/>
      <w:marBottom w:val="0"/>
      <w:divBdr>
        <w:top w:val="none" w:sz="0" w:space="0" w:color="auto"/>
        <w:left w:val="none" w:sz="0" w:space="0" w:color="auto"/>
        <w:bottom w:val="none" w:sz="0" w:space="0" w:color="auto"/>
        <w:right w:val="none" w:sz="0" w:space="0" w:color="auto"/>
      </w:divBdr>
      <w:divsChild>
        <w:div w:id="863322964">
          <w:marLeft w:val="0"/>
          <w:marRight w:val="0"/>
          <w:marTop w:val="0"/>
          <w:marBottom w:val="0"/>
          <w:divBdr>
            <w:top w:val="none" w:sz="0" w:space="0" w:color="auto"/>
            <w:left w:val="none" w:sz="0" w:space="0" w:color="auto"/>
            <w:bottom w:val="none" w:sz="0" w:space="0" w:color="auto"/>
            <w:right w:val="none" w:sz="0" w:space="0" w:color="auto"/>
          </w:divBdr>
          <w:divsChild>
            <w:div w:id="863322953">
              <w:marLeft w:val="0"/>
              <w:marRight w:val="0"/>
              <w:marTop w:val="100"/>
              <w:marBottom w:val="100"/>
              <w:divBdr>
                <w:top w:val="none" w:sz="0" w:space="0" w:color="auto"/>
                <w:left w:val="none" w:sz="0" w:space="0" w:color="auto"/>
                <w:bottom w:val="none" w:sz="0" w:space="0" w:color="auto"/>
                <w:right w:val="none" w:sz="0" w:space="0" w:color="auto"/>
              </w:divBdr>
              <w:divsChild>
                <w:div w:id="863322958">
                  <w:marLeft w:val="0"/>
                  <w:marRight w:val="0"/>
                  <w:marTop w:val="0"/>
                  <w:marBottom w:val="0"/>
                  <w:divBdr>
                    <w:top w:val="none" w:sz="0" w:space="0" w:color="auto"/>
                    <w:left w:val="none" w:sz="0" w:space="0" w:color="auto"/>
                    <w:bottom w:val="none" w:sz="0" w:space="0" w:color="auto"/>
                    <w:right w:val="none" w:sz="0" w:space="0" w:color="auto"/>
                  </w:divBdr>
                  <w:divsChild>
                    <w:div w:id="863322962">
                      <w:marLeft w:val="0"/>
                      <w:marRight w:val="0"/>
                      <w:marTop w:val="0"/>
                      <w:marBottom w:val="0"/>
                      <w:divBdr>
                        <w:top w:val="none" w:sz="0" w:space="0" w:color="auto"/>
                        <w:left w:val="none" w:sz="0" w:space="0" w:color="auto"/>
                        <w:bottom w:val="none" w:sz="0" w:space="0" w:color="auto"/>
                        <w:right w:val="none" w:sz="0" w:space="0" w:color="auto"/>
                      </w:divBdr>
                      <w:divsChild>
                        <w:div w:id="863322951">
                          <w:marLeft w:val="0"/>
                          <w:marRight w:val="0"/>
                          <w:marTop w:val="0"/>
                          <w:marBottom w:val="0"/>
                          <w:divBdr>
                            <w:top w:val="none" w:sz="0" w:space="0" w:color="auto"/>
                            <w:left w:val="none" w:sz="0" w:space="0" w:color="auto"/>
                            <w:bottom w:val="none" w:sz="0" w:space="0" w:color="auto"/>
                            <w:right w:val="none" w:sz="0" w:space="0" w:color="auto"/>
                          </w:divBdr>
                          <w:divsChild>
                            <w:div w:id="863322959">
                              <w:marLeft w:val="0"/>
                              <w:marRight w:val="0"/>
                              <w:marTop w:val="0"/>
                              <w:marBottom w:val="0"/>
                              <w:divBdr>
                                <w:top w:val="single" w:sz="6" w:space="23" w:color="A6A6A6"/>
                                <w:left w:val="single" w:sz="6" w:space="30" w:color="A6A6A6"/>
                                <w:bottom w:val="single" w:sz="6" w:space="23" w:color="A6A6A6"/>
                                <w:right w:val="single" w:sz="6" w:space="30" w:color="A6A6A6"/>
                              </w:divBdr>
                              <w:divsChild>
                                <w:div w:id="863322952">
                                  <w:marLeft w:val="0"/>
                                  <w:marRight w:val="0"/>
                                  <w:marTop w:val="0"/>
                                  <w:marBottom w:val="0"/>
                                  <w:divBdr>
                                    <w:top w:val="none" w:sz="0" w:space="0" w:color="auto"/>
                                    <w:left w:val="none" w:sz="0" w:space="0" w:color="auto"/>
                                    <w:bottom w:val="none" w:sz="0" w:space="0" w:color="auto"/>
                                    <w:right w:val="none" w:sz="0" w:space="0" w:color="auto"/>
                                  </w:divBdr>
                                  <w:divsChild>
                                    <w:div w:id="863322955">
                                      <w:marLeft w:val="0"/>
                                      <w:marRight w:val="0"/>
                                      <w:marTop w:val="0"/>
                                      <w:marBottom w:val="0"/>
                                      <w:divBdr>
                                        <w:top w:val="none" w:sz="0" w:space="0" w:color="auto"/>
                                        <w:left w:val="none" w:sz="0" w:space="0" w:color="auto"/>
                                        <w:bottom w:val="none" w:sz="0" w:space="0" w:color="auto"/>
                                        <w:right w:val="none" w:sz="0" w:space="0" w:color="auto"/>
                                      </w:divBdr>
                                      <w:divsChild>
                                        <w:div w:id="863322956">
                                          <w:marLeft w:val="0"/>
                                          <w:marRight w:val="0"/>
                                          <w:marTop w:val="0"/>
                                          <w:marBottom w:val="0"/>
                                          <w:divBdr>
                                            <w:top w:val="none" w:sz="0" w:space="0" w:color="auto"/>
                                            <w:left w:val="none" w:sz="0" w:space="0" w:color="auto"/>
                                            <w:bottom w:val="none" w:sz="0" w:space="0" w:color="auto"/>
                                            <w:right w:val="none" w:sz="0" w:space="0" w:color="auto"/>
                                          </w:divBdr>
                                        </w:div>
                                        <w:div w:id="863322963">
                                          <w:marLeft w:val="0"/>
                                          <w:marRight w:val="0"/>
                                          <w:marTop w:val="0"/>
                                          <w:marBottom w:val="0"/>
                                          <w:divBdr>
                                            <w:top w:val="none" w:sz="0" w:space="0" w:color="auto"/>
                                            <w:left w:val="none" w:sz="0" w:space="0" w:color="auto"/>
                                            <w:bottom w:val="none" w:sz="0" w:space="0" w:color="auto"/>
                                            <w:right w:val="none" w:sz="0" w:space="0" w:color="auto"/>
                                          </w:divBdr>
                                          <w:divsChild>
                                            <w:div w:id="8633229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63322957">
                                      <w:marLeft w:val="0"/>
                                      <w:marRight w:val="0"/>
                                      <w:marTop w:val="270"/>
                                      <w:marBottom w:val="390"/>
                                      <w:divBdr>
                                        <w:top w:val="none" w:sz="0" w:space="0" w:color="auto"/>
                                        <w:left w:val="none" w:sz="0" w:space="0" w:color="auto"/>
                                        <w:bottom w:val="none" w:sz="0" w:space="0" w:color="auto"/>
                                        <w:right w:val="none" w:sz="0" w:space="0" w:color="auto"/>
                                      </w:divBdr>
                                    </w:div>
                                    <w:div w:id="8633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3891</Words>
  <Characters>24519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Mitgliederlisten oder -verzeichnisse an Vereinsmitglieder herausgeben</dc:title>
  <dc:subject/>
  <dc:creator>Schick</dc:creator>
  <cp:keywords/>
  <dc:description/>
  <cp:lastModifiedBy>Mike</cp:lastModifiedBy>
  <cp:revision>2</cp:revision>
  <dcterms:created xsi:type="dcterms:W3CDTF">2018-03-18T21:37:00Z</dcterms:created>
  <dcterms:modified xsi:type="dcterms:W3CDTF">2018-03-18T21:37:00Z</dcterms:modified>
</cp:coreProperties>
</file>